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A060D" w:rsidRPr="00280264" w:rsidRDefault="00280264" w:rsidP="00280264">
      <w:pPr>
        <w:pStyle w:val="a7"/>
        <w:spacing w:before="0" w:beforeAutospacing="0" w:after="0" w:afterAutospacing="0"/>
        <w:ind w:firstLine="284"/>
        <w:contextualSpacing/>
        <w:jc w:val="center"/>
        <w:rPr>
          <w:b/>
          <w:color w:val="000000" w:themeColor="text1"/>
        </w:rPr>
      </w:pPr>
      <w:bookmarkStart w:id="0" w:name="_GoBack"/>
      <w:bookmarkEnd w:id="0"/>
      <w:r w:rsidRPr="00280264">
        <w:rPr>
          <w:b/>
          <w:color w:val="000000" w:themeColor="text1"/>
        </w:rPr>
        <w:t>Национальные платёжные системы как инструмент адаптации банковского сектора России к санкционным ограничениям: трансформация клиентского сервиса в новых условиях</w:t>
      </w:r>
    </w:p>
    <w:p w:rsidR="00280264" w:rsidRPr="00280264" w:rsidRDefault="00280264" w:rsidP="00280264">
      <w:pPr>
        <w:spacing w:before="100" w:after="100" w:line="240" w:lineRule="auto"/>
        <w:ind w:right="165"/>
        <w:rPr>
          <w:rFonts w:ascii="Times New Roman" w:eastAsiaTheme="majorEastAsia" w:hAnsi="Times New Roman"/>
          <w:bCs/>
          <w:sz w:val="24"/>
          <w:szCs w:val="24"/>
          <w:lang w:eastAsia="ru-RU"/>
        </w:rPr>
      </w:pPr>
      <w:r w:rsidRPr="00280264">
        <w:rPr>
          <w:rFonts w:ascii="Times New Roman" w:eastAsiaTheme="majorEastAsia" w:hAnsi="Times New Roman"/>
          <w:bCs/>
          <w:sz w:val="24"/>
          <w:szCs w:val="24"/>
          <w:lang w:eastAsia="ru-RU"/>
        </w:rPr>
        <w:t>УДК 336.7</w:t>
      </w:r>
    </w:p>
    <w:p w:rsidR="00280264" w:rsidRPr="00280264" w:rsidRDefault="00280264" w:rsidP="00280264">
      <w:pPr>
        <w:spacing w:after="0" w:line="240" w:lineRule="auto"/>
        <w:ind w:right="164"/>
        <w:contextualSpacing/>
        <w:jc w:val="center"/>
        <w:rPr>
          <w:rFonts w:ascii="Times New Roman" w:eastAsiaTheme="majorEastAsia" w:hAnsi="Times New Roman"/>
          <w:bCs/>
          <w:sz w:val="24"/>
          <w:szCs w:val="24"/>
          <w:lang w:eastAsia="ru-RU"/>
        </w:rPr>
      </w:pPr>
      <w:r w:rsidRPr="00280264">
        <w:rPr>
          <w:rFonts w:ascii="Times New Roman" w:eastAsiaTheme="majorEastAsia" w:hAnsi="Times New Roman"/>
          <w:bCs/>
          <w:sz w:val="24"/>
          <w:szCs w:val="24"/>
          <w:lang w:eastAsia="ru-RU"/>
        </w:rPr>
        <w:t>Бутич Ф.Е.</w:t>
      </w:r>
    </w:p>
    <w:p w:rsidR="00280264" w:rsidRPr="00280264" w:rsidRDefault="00280264" w:rsidP="00280264">
      <w:pPr>
        <w:spacing w:after="0" w:line="240" w:lineRule="auto"/>
        <w:ind w:right="164"/>
        <w:contextualSpacing/>
        <w:jc w:val="center"/>
        <w:rPr>
          <w:rFonts w:ascii="Times New Roman" w:eastAsiaTheme="majorEastAsia" w:hAnsi="Times New Roman"/>
          <w:bCs/>
          <w:sz w:val="24"/>
          <w:szCs w:val="24"/>
          <w:lang w:eastAsia="ru-RU"/>
        </w:rPr>
      </w:pPr>
      <w:r w:rsidRPr="00280264">
        <w:rPr>
          <w:rFonts w:ascii="Times New Roman" w:eastAsiaTheme="majorEastAsia" w:hAnsi="Times New Roman"/>
          <w:bCs/>
          <w:sz w:val="24"/>
          <w:szCs w:val="24"/>
          <w:lang w:eastAsia="ru-RU"/>
        </w:rPr>
        <w:t>магистрант</w:t>
      </w:r>
    </w:p>
    <w:p w:rsidR="00280264" w:rsidRPr="00280264" w:rsidRDefault="00280264" w:rsidP="00280264">
      <w:pPr>
        <w:spacing w:after="0" w:line="240" w:lineRule="auto"/>
        <w:ind w:right="164"/>
        <w:contextualSpacing/>
        <w:jc w:val="center"/>
        <w:rPr>
          <w:rFonts w:ascii="Times New Roman" w:eastAsiaTheme="majorEastAsia" w:hAnsi="Times New Roman"/>
          <w:bCs/>
          <w:sz w:val="24"/>
          <w:szCs w:val="24"/>
          <w:lang w:eastAsia="ru-RU"/>
        </w:rPr>
      </w:pPr>
      <w:r w:rsidRPr="00280264">
        <w:rPr>
          <w:rFonts w:ascii="Times New Roman" w:eastAsiaTheme="majorEastAsia" w:hAnsi="Times New Roman"/>
          <w:bCs/>
          <w:sz w:val="24"/>
          <w:szCs w:val="24"/>
          <w:lang w:eastAsia="ru-RU"/>
        </w:rPr>
        <w:t>Бубновская Т.В.</w:t>
      </w:r>
    </w:p>
    <w:p w:rsidR="00280264" w:rsidRPr="00280264" w:rsidRDefault="00280264" w:rsidP="00280264">
      <w:pPr>
        <w:spacing w:after="0" w:line="240" w:lineRule="auto"/>
        <w:ind w:right="164"/>
        <w:contextualSpacing/>
        <w:jc w:val="center"/>
        <w:rPr>
          <w:rFonts w:ascii="Times New Roman" w:eastAsiaTheme="majorEastAsia" w:hAnsi="Times New Roman"/>
          <w:bCs/>
          <w:sz w:val="24"/>
          <w:szCs w:val="24"/>
          <w:lang w:eastAsia="ru-RU"/>
        </w:rPr>
      </w:pPr>
      <w:r w:rsidRPr="00280264">
        <w:rPr>
          <w:rFonts w:ascii="Times New Roman" w:eastAsiaTheme="majorEastAsia" w:hAnsi="Times New Roman"/>
          <w:bCs/>
          <w:sz w:val="24"/>
          <w:szCs w:val="24"/>
          <w:lang w:eastAsia="ru-RU"/>
        </w:rPr>
        <w:t xml:space="preserve">научный руководитель, к.э.н., доцент </w:t>
      </w:r>
    </w:p>
    <w:p w:rsidR="00280264" w:rsidRPr="00280264" w:rsidRDefault="00280264" w:rsidP="00280264">
      <w:pPr>
        <w:spacing w:after="0" w:line="240" w:lineRule="auto"/>
        <w:ind w:right="164"/>
        <w:contextualSpacing/>
        <w:jc w:val="center"/>
        <w:rPr>
          <w:rFonts w:ascii="Times New Roman" w:eastAsiaTheme="majorEastAsia" w:hAnsi="Times New Roman"/>
          <w:bCs/>
          <w:i/>
          <w:sz w:val="24"/>
          <w:szCs w:val="24"/>
          <w:lang w:eastAsia="ru-RU"/>
        </w:rPr>
      </w:pPr>
      <w:r w:rsidRPr="00280264">
        <w:rPr>
          <w:rFonts w:ascii="Times New Roman" w:eastAsiaTheme="majorEastAsia" w:hAnsi="Times New Roman"/>
          <w:bCs/>
          <w:i/>
          <w:sz w:val="24"/>
          <w:szCs w:val="24"/>
          <w:lang w:eastAsia="ru-RU"/>
        </w:rPr>
        <w:t>Владивостокский государственный университет</w:t>
      </w:r>
    </w:p>
    <w:p w:rsidR="00280264" w:rsidRPr="00280264" w:rsidRDefault="00280264" w:rsidP="00280264">
      <w:pPr>
        <w:spacing w:after="120" w:line="240" w:lineRule="auto"/>
        <w:ind w:right="164"/>
        <w:jc w:val="center"/>
        <w:rPr>
          <w:rFonts w:ascii="Times New Roman" w:eastAsiaTheme="majorEastAsia" w:hAnsi="Times New Roman"/>
          <w:bCs/>
          <w:i/>
          <w:sz w:val="24"/>
          <w:szCs w:val="24"/>
          <w:lang w:eastAsia="ru-RU"/>
        </w:rPr>
      </w:pPr>
      <w:r w:rsidRPr="00280264">
        <w:rPr>
          <w:rFonts w:ascii="Times New Roman" w:eastAsiaTheme="majorEastAsia" w:hAnsi="Times New Roman"/>
          <w:bCs/>
          <w:i/>
          <w:sz w:val="24"/>
          <w:szCs w:val="24"/>
          <w:lang w:eastAsia="ru-RU"/>
        </w:rPr>
        <w:t>Россия. Владивосток</w:t>
      </w:r>
    </w:p>
    <w:p w:rsidR="007D6245" w:rsidRPr="00280264" w:rsidRDefault="00E26D51" w:rsidP="00280264">
      <w:pPr>
        <w:pStyle w:val="a7"/>
        <w:spacing w:before="0" w:beforeAutospacing="0" w:after="120" w:afterAutospacing="0"/>
        <w:ind w:firstLine="709"/>
        <w:jc w:val="both"/>
        <w:rPr>
          <w:color w:val="000000" w:themeColor="text1"/>
        </w:rPr>
      </w:pPr>
      <w:r w:rsidRPr="00280264">
        <w:rPr>
          <w:b/>
          <w:color w:val="000000" w:themeColor="text1"/>
        </w:rPr>
        <w:t>Аннотация.</w:t>
      </w:r>
      <w:r w:rsidRPr="00280264">
        <w:rPr>
          <w:color w:val="000000" w:themeColor="text1"/>
        </w:rPr>
        <w:t xml:space="preserve"> Санкционное давление на российский банковский сектор стало драйвером масштабной трансформации платёжной инфраструктуры и клиентского сервиса. Отключение от SWIFT, прекращение работы международных платёжных систем</w:t>
      </w:r>
      <w:r w:rsidR="007D6245" w:rsidRPr="00280264">
        <w:rPr>
          <w:color w:val="000000" w:themeColor="text1"/>
        </w:rPr>
        <w:t xml:space="preserve">, а также </w:t>
      </w:r>
      <w:r w:rsidRPr="00280264">
        <w:rPr>
          <w:color w:val="000000" w:themeColor="text1"/>
        </w:rPr>
        <w:t>рост транзакционных издержек ускорили переход к внутренним механиз</w:t>
      </w:r>
      <w:r w:rsidR="007D6245" w:rsidRPr="00280264">
        <w:rPr>
          <w:color w:val="000000" w:themeColor="text1"/>
        </w:rPr>
        <w:t xml:space="preserve">мам расчётов. В центре внимания </w:t>
      </w:r>
      <w:r w:rsidRPr="00280264">
        <w:rPr>
          <w:color w:val="000000" w:themeColor="text1"/>
        </w:rPr>
        <w:t xml:space="preserve">развитие СПФС, «Мир», а также внедрение и масштабирование </w:t>
      </w:r>
      <w:r w:rsidR="007D6245" w:rsidRPr="00280264">
        <w:rPr>
          <w:color w:val="000000" w:themeColor="text1"/>
        </w:rPr>
        <w:t>СБП</w:t>
      </w:r>
      <w:r w:rsidRPr="00280264">
        <w:rPr>
          <w:color w:val="000000" w:themeColor="text1"/>
        </w:rPr>
        <w:t xml:space="preserve">. Эти инструменты обеспечили устойчивость внутренних потоков и сформировали базу для альтернативных трансграничных связей. Одновременно наблюдается качественный сдвиг в потребительском поведении: растёт роль цифровых каналов, развивается экосистема, усиливается тренд на самообслуживание и персонализированные сценарии взаимодействия. Банковская модель переходит от внешней зависимости к внутреннему суверенитету, где ключевыми становятся гибкость, технологическая адаптивность и доверие к национальным решениям. Российский опыт демонстрирует, что в условиях внешних </w:t>
      </w:r>
      <w:r w:rsidR="007D6245" w:rsidRPr="00280264">
        <w:rPr>
          <w:color w:val="000000" w:themeColor="text1"/>
        </w:rPr>
        <w:t>ограничений</w:t>
      </w:r>
      <w:r w:rsidRPr="00280264">
        <w:rPr>
          <w:color w:val="000000" w:themeColor="text1"/>
        </w:rPr>
        <w:t xml:space="preserve"> </w:t>
      </w:r>
      <w:r w:rsidR="007D6245" w:rsidRPr="00280264">
        <w:rPr>
          <w:color w:val="000000" w:themeColor="text1"/>
        </w:rPr>
        <w:t>возможно</w:t>
      </w:r>
      <w:r w:rsidRPr="00280264">
        <w:rPr>
          <w:color w:val="000000" w:themeColor="text1"/>
        </w:rPr>
        <w:t xml:space="preserve"> не только компенсировать </w:t>
      </w:r>
      <w:r w:rsidR="007D6245" w:rsidRPr="00280264">
        <w:rPr>
          <w:color w:val="000000" w:themeColor="text1"/>
        </w:rPr>
        <w:t>потери</w:t>
      </w:r>
      <w:r w:rsidRPr="00280264">
        <w:rPr>
          <w:color w:val="000000" w:themeColor="text1"/>
        </w:rPr>
        <w:t xml:space="preserve">, но и выстроить </w:t>
      </w:r>
      <w:r w:rsidR="007D6245" w:rsidRPr="00280264">
        <w:rPr>
          <w:color w:val="000000" w:themeColor="text1"/>
        </w:rPr>
        <w:t>новую устойчивую систему.</w:t>
      </w:r>
    </w:p>
    <w:p w:rsidR="00E26D51" w:rsidRDefault="007D6245" w:rsidP="00280264">
      <w:pPr>
        <w:pStyle w:val="Default"/>
        <w:spacing w:after="120"/>
        <w:ind w:firstLine="709"/>
        <w:jc w:val="both"/>
        <w:rPr>
          <w:rFonts w:eastAsia="Times New Roman"/>
          <w:color w:val="000000" w:themeColor="text1"/>
          <w:lang w:eastAsia="ru-RU"/>
        </w:rPr>
      </w:pPr>
      <w:r w:rsidRPr="00280264">
        <w:rPr>
          <w:rFonts w:eastAsia="Times New Roman"/>
          <w:b/>
          <w:color w:val="000000" w:themeColor="text1"/>
          <w:lang w:eastAsia="ru-RU"/>
        </w:rPr>
        <w:t>Ключевые слова:</w:t>
      </w:r>
      <w:r w:rsidR="008A3955" w:rsidRPr="00280264">
        <w:rPr>
          <w:rFonts w:eastAsia="Times New Roman"/>
          <w:color w:val="000000" w:themeColor="text1"/>
          <w:lang w:eastAsia="ru-RU"/>
        </w:rPr>
        <w:t xml:space="preserve"> антироссийские санкции, </w:t>
      </w:r>
      <w:r w:rsidR="002B21F3" w:rsidRPr="00280264">
        <w:rPr>
          <w:rFonts w:eastAsia="Times New Roman"/>
          <w:color w:val="000000" w:themeColor="text1"/>
          <w:lang w:eastAsia="ru-RU"/>
        </w:rPr>
        <w:t>платежные системы, SWIFT, СПФС, НСПК, банковский сектор, безналичные расчеты, цифровизация, финансовые технологии</w:t>
      </w:r>
      <w:r w:rsidR="005E1429" w:rsidRPr="00280264">
        <w:rPr>
          <w:rFonts w:eastAsia="Times New Roman"/>
          <w:color w:val="000000" w:themeColor="text1"/>
          <w:lang w:eastAsia="ru-RU"/>
        </w:rPr>
        <w:t>, платежная инфраструктура, система быстрых платежей, эмиссия банковских карт</w:t>
      </w:r>
    </w:p>
    <w:p w:rsidR="00280264" w:rsidRPr="00280264" w:rsidRDefault="00280264" w:rsidP="00280264">
      <w:pPr>
        <w:pStyle w:val="Default"/>
        <w:spacing w:after="120"/>
        <w:ind w:firstLine="709"/>
        <w:jc w:val="center"/>
        <w:rPr>
          <w:rFonts w:eastAsia="Times New Roman"/>
          <w:b/>
          <w:color w:val="000000" w:themeColor="text1"/>
          <w:lang w:val="en-US" w:eastAsia="ru-RU"/>
        </w:rPr>
      </w:pPr>
      <w:r w:rsidRPr="00280264">
        <w:rPr>
          <w:rFonts w:eastAsia="Times New Roman"/>
          <w:b/>
          <w:color w:val="000000" w:themeColor="text1"/>
          <w:lang w:val="en-US" w:eastAsia="ru-RU"/>
        </w:rPr>
        <w:t>National payment systems as an instrument of adaptation of the Russian banking sector to sanctions restrictions: transformation of customer service in new conditions</w:t>
      </w:r>
    </w:p>
    <w:p w:rsidR="00280264" w:rsidRPr="00280264" w:rsidRDefault="00280264" w:rsidP="00280264">
      <w:pPr>
        <w:pStyle w:val="Default"/>
        <w:spacing w:after="120"/>
        <w:ind w:firstLine="709"/>
        <w:jc w:val="both"/>
        <w:rPr>
          <w:rFonts w:eastAsia="Times New Roman"/>
          <w:color w:val="000000" w:themeColor="text1"/>
          <w:lang w:val="en-US" w:eastAsia="ru-RU"/>
        </w:rPr>
      </w:pPr>
      <w:r w:rsidRPr="00280264">
        <w:rPr>
          <w:rFonts w:eastAsia="Times New Roman"/>
          <w:color w:val="000000" w:themeColor="text1"/>
          <w:lang w:val="en-US" w:eastAsia="ru-RU"/>
        </w:rPr>
        <w:t>The sanctions pressure on the Russian banking sector has become a driver of a large-scale transformation of the payment infrastructure and customer service. Disconnection from SWIFT, the shutdown of international payment systems, as well as rising transaction costs accelerated the transition to internal settlement mechanisms. The focus is on the development of the SPFS, Mir, as well as the implementation and scaling of the SBP. These tools have ensured the stability of internal flows and formed the basis for alternative cross-border links. At the same time, there is a qualitative shift in consumer behavior: the role of digital channels is growing, the ecosystem is developing, and the trend towards self-service and personalized interaction scenarios is intensifying. The banking model is shifting from external dependence to internal sovereignty, where flexibility, technological adaptability, and trust in national solutions are becoming key. Russian experience demonstrates that under conditions of external constraints it is possible not only to compensate for losses, but also to build a new stable system.</w:t>
      </w:r>
    </w:p>
    <w:p w:rsidR="00280264" w:rsidRPr="00280264" w:rsidRDefault="00280264" w:rsidP="00280264">
      <w:pPr>
        <w:pStyle w:val="Default"/>
        <w:spacing w:after="120"/>
        <w:ind w:firstLine="709"/>
        <w:jc w:val="both"/>
        <w:rPr>
          <w:rFonts w:eastAsia="Times New Roman"/>
          <w:color w:val="000000" w:themeColor="text1"/>
          <w:lang w:val="en-US" w:eastAsia="ru-RU"/>
        </w:rPr>
      </w:pPr>
      <w:r w:rsidRPr="00280264">
        <w:rPr>
          <w:rFonts w:eastAsia="Times New Roman"/>
          <w:b/>
          <w:color w:val="000000" w:themeColor="text1"/>
          <w:lang w:val="en-US" w:eastAsia="ru-RU"/>
        </w:rPr>
        <w:t>Keywords:</w:t>
      </w:r>
      <w:r w:rsidRPr="00280264">
        <w:rPr>
          <w:rFonts w:eastAsia="Times New Roman"/>
          <w:color w:val="000000" w:themeColor="text1"/>
          <w:lang w:val="en-US" w:eastAsia="ru-RU"/>
        </w:rPr>
        <w:t xml:space="preserve"> anti-Russian sanctions, payment systems, SWIFT, SPFS, NSPK, banking sector, non-cash payments, digitalization, financial technologies, payment infrastructure, fast payment system, issue of bank cards</w:t>
      </w:r>
    </w:p>
    <w:p w:rsidR="00963B32" w:rsidRPr="00280264" w:rsidRDefault="00963B32"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С февраля 2022 года банковская система России попала под широкомасштабное санкционное давление, которое привело к существенной перестройке инфраструктуры финансового сектора страны. Основные изменения, которым был подвергнут банковский сектор – это отключение крупнейших Банков от системы SWIFT, а также резкий и одновременный уход с российского рынка двух международных платёжных гигантов </w:t>
      </w:r>
      <w:proofErr w:type="spellStart"/>
      <w:r w:rsidRPr="00280264">
        <w:rPr>
          <w:color w:val="000000" w:themeColor="text1"/>
        </w:rPr>
        <w:t>Visa</w:t>
      </w:r>
      <w:proofErr w:type="spellEnd"/>
      <w:r w:rsidRPr="00280264">
        <w:rPr>
          <w:color w:val="000000" w:themeColor="text1"/>
        </w:rPr>
        <w:t xml:space="preserve"> и </w:t>
      </w:r>
      <w:proofErr w:type="spellStart"/>
      <w:r w:rsidRPr="00280264">
        <w:rPr>
          <w:color w:val="000000" w:themeColor="text1"/>
        </w:rPr>
        <w:t>MasterCard</w:t>
      </w:r>
      <w:proofErr w:type="spellEnd"/>
      <w:r w:rsidR="004C0568" w:rsidRPr="004C0568">
        <w:rPr>
          <w:color w:val="000000" w:themeColor="text1"/>
        </w:rPr>
        <w:t xml:space="preserve"> [1]. </w:t>
      </w:r>
      <w:r w:rsidR="00650DB4" w:rsidRPr="00280264">
        <w:rPr>
          <w:color w:val="000000" w:themeColor="text1"/>
        </w:rPr>
        <w:t>О</w:t>
      </w:r>
      <w:r w:rsidRPr="00280264">
        <w:rPr>
          <w:color w:val="000000" w:themeColor="text1"/>
        </w:rPr>
        <w:t>граничение доступа к</w:t>
      </w:r>
      <w:r w:rsidR="00650DB4" w:rsidRPr="00280264">
        <w:rPr>
          <w:color w:val="000000" w:themeColor="text1"/>
        </w:rPr>
        <w:t xml:space="preserve"> глобальным расчётным системам и </w:t>
      </w:r>
      <w:r w:rsidRPr="00280264">
        <w:rPr>
          <w:color w:val="000000" w:themeColor="text1"/>
        </w:rPr>
        <w:t xml:space="preserve">подрыв доверия к </w:t>
      </w:r>
      <w:r w:rsidRPr="00280264">
        <w:rPr>
          <w:color w:val="000000" w:themeColor="text1"/>
        </w:rPr>
        <w:lastRenderedPageBreak/>
        <w:t>привычным схемам проведения транзакций</w:t>
      </w:r>
      <w:r w:rsidR="00650DB4" w:rsidRPr="00280264">
        <w:rPr>
          <w:color w:val="000000" w:themeColor="text1"/>
        </w:rPr>
        <w:t xml:space="preserve"> – привели к дестабилизации привычных процессов, </w:t>
      </w:r>
      <w:r w:rsidR="0009317B" w:rsidRPr="00280264">
        <w:rPr>
          <w:color w:val="000000" w:themeColor="text1"/>
        </w:rPr>
        <w:t xml:space="preserve">что вынудило перейти к использованию национальных решений. </w:t>
      </w:r>
    </w:p>
    <w:p w:rsidR="00C8712C" w:rsidRPr="00280264" w:rsidRDefault="003D6630"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Отключение от SWIFT, </w:t>
      </w:r>
      <w:r w:rsidR="00D93F7A" w:rsidRPr="00280264">
        <w:rPr>
          <w:color w:val="000000" w:themeColor="text1"/>
        </w:rPr>
        <w:t>которое коснулось</w:t>
      </w:r>
      <w:r w:rsidRPr="00280264">
        <w:rPr>
          <w:color w:val="000000" w:themeColor="text1"/>
        </w:rPr>
        <w:t xml:space="preserve"> системообразующих игроков, как Сбербанк, ВТБ,</w:t>
      </w:r>
      <w:r w:rsidR="00D93F7A" w:rsidRPr="00280264">
        <w:rPr>
          <w:color w:val="000000" w:themeColor="text1"/>
        </w:rPr>
        <w:t xml:space="preserve"> Альфа-Банк,</w:t>
      </w:r>
      <w:r w:rsidRPr="00280264">
        <w:rPr>
          <w:color w:val="000000" w:themeColor="text1"/>
        </w:rPr>
        <w:t xml:space="preserve"> </w:t>
      </w:r>
      <w:proofErr w:type="spellStart"/>
      <w:r w:rsidRPr="00280264">
        <w:rPr>
          <w:color w:val="000000" w:themeColor="text1"/>
        </w:rPr>
        <w:t>Совкомбанк</w:t>
      </w:r>
      <w:proofErr w:type="spellEnd"/>
      <w:r w:rsidRPr="00280264">
        <w:rPr>
          <w:color w:val="000000" w:themeColor="text1"/>
        </w:rPr>
        <w:t xml:space="preserve"> и других, резко снизило </w:t>
      </w:r>
      <w:r w:rsidR="00D93F7A" w:rsidRPr="00280264">
        <w:rPr>
          <w:color w:val="000000" w:themeColor="text1"/>
        </w:rPr>
        <w:t xml:space="preserve">возможность осуществлять </w:t>
      </w:r>
      <w:r w:rsidRPr="00280264">
        <w:rPr>
          <w:color w:val="000000" w:themeColor="text1"/>
        </w:rPr>
        <w:t xml:space="preserve">международные расчёты в стандартном и широко распространённом формате. SWIFT </w:t>
      </w:r>
      <w:r w:rsidR="00D93F7A" w:rsidRPr="00280264">
        <w:rPr>
          <w:color w:val="000000" w:themeColor="text1"/>
        </w:rPr>
        <w:t>долгое время</w:t>
      </w:r>
      <w:r w:rsidRPr="00280264">
        <w:rPr>
          <w:color w:val="000000" w:themeColor="text1"/>
        </w:rPr>
        <w:t xml:space="preserve"> служила основным канало</w:t>
      </w:r>
      <w:r w:rsidR="00D93F7A" w:rsidRPr="00280264">
        <w:rPr>
          <w:color w:val="000000" w:themeColor="text1"/>
        </w:rPr>
        <w:t>м межба</w:t>
      </w:r>
      <w:r w:rsidR="00C8712C" w:rsidRPr="00280264">
        <w:rPr>
          <w:color w:val="000000" w:themeColor="text1"/>
        </w:rPr>
        <w:t>нковского взаимодействия, которая</w:t>
      </w:r>
      <w:r w:rsidR="00D93F7A" w:rsidRPr="00280264">
        <w:rPr>
          <w:color w:val="000000" w:themeColor="text1"/>
        </w:rPr>
        <w:t xml:space="preserve"> использовал</w:t>
      </w:r>
      <w:r w:rsidR="00C8712C" w:rsidRPr="00280264">
        <w:rPr>
          <w:color w:val="000000" w:themeColor="text1"/>
        </w:rPr>
        <w:t>ась</w:t>
      </w:r>
      <w:r w:rsidR="00D93F7A" w:rsidRPr="00280264">
        <w:rPr>
          <w:color w:val="000000" w:themeColor="text1"/>
        </w:rPr>
        <w:t xml:space="preserve"> при трансграничных операциях. Главными преимуществами  таких платежей являлись мгновенная и безопасная передача сообщений между странами.  П</w:t>
      </w:r>
      <w:r w:rsidRPr="00280264">
        <w:rPr>
          <w:color w:val="000000" w:themeColor="text1"/>
        </w:rPr>
        <w:t xml:space="preserve">отеря доступа к этой системе </w:t>
      </w:r>
      <w:r w:rsidR="00D93F7A" w:rsidRPr="00280264">
        <w:rPr>
          <w:color w:val="000000" w:themeColor="text1"/>
        </w:rPr>
        <w:t>изолировала  российские Б</w:t>
      </w:r>
      <w:r w:rsidRPr="00280264">
        <w:rPr>
          <w:color w:val="000000" w:themeColor="text1"/>
        </w:rPr>
        <w:t>анки от глобальной финансовой коммуникации.</w:t>
      </w:r>
      <w:r w:rsidR="00D93F7A" w:rsidRPr="00280264">
        <w:rPr>
          <w:color w:val="000000" w:themeColor="text1"/>
        </w:rPr>
        <w:t xml:space="preserve"> В результате, </w:t>
      </w:r>
      <w:r w:rsidR="00C8712C" w:rsidRPr="00280264">
        <w:rPr>
          <w:color w:val="000000" w:themeColor="text1"/>
        </w:rPr>
        <w:t>кредитные организации были вынуждены</w:t>
      </w:r>
      <w:r w:rsidRPr="00280264">
        <w:rPr>
          <w:color w:val="000000" w:themeColor="text1"/>
        </w:rPr>
        <w:t xml:space="preserve"> искать обходные</w:t>
      </w:r>
      <w:r w:rsidR="00C8712C" w:rsidRPr="00280264">
        <w:rPr>
          <w:color w:val="000000" w:themeColor="text1"/>
        </w:rPr>
        <w:t xml:space="preserve"> пути для ведения деятельности</w:t>
      </w:r>
      <w:r w:rsidR="004C0568" w:rsidRPr="004C0568">
        <w:rPr>
          <w:color w:val="000000" w:themeColor="text1"/>
        </w:rPr>
        <w:t xml:space="preserve"> [2]</w:t>
      </w:r>
      <w:r w:rsidR="00C8712C" w:rsidRPr="00280264">
        <w:rPr>
          <w:color w:val="000000" w:themeColor="text1"/>
        </w:rPr>
        <w:t>. Банки стали внедрять</w:t>
      </w:r>
      <w:r w:rsidRPr="00280264">
        <w:rPr>
          <w:color w:val="000000" w:themeColor="text1"/>
        </w:rPr>
        <w:t xml:space="preserve"> менее технологичные и более затратные </w:t>
      </w:r>
      <w:r w:rsidR="00C8712C" w:rsidRPr="00280264">
        <w:rPr>
          <w:color w:val="000000" w:themeColor="text1"/>
        </w:rPr>
        <w:t>вариации передачи платежных сообщений через дружественные страны, используя факсимильную передачу сообщений, электронную почту, телефонные согласования. Это значительно усложнило процесс и увеличило количество рисков, так как каждая операция требовала ручной проверки и согласования, что повлекло за собой нагрузку на персонал Банков</w:t>
      </w:r>
      <w:r w:rsidR="004C0568" w:rsidRPr="004C0568">
        <w:rPr>
          <w:color w:val="000000" w:themeColor="text1"/>
        </w:rPr>
        <w:t xml:space="preserve"> [3]</w:t>
      </w:r>
      <w:r w:rsidR="00C8712C" w:rsidRPr="00280264">
        <w:rPr>
          <w:color w:val="000000" w:themeColor="text1"/>
        </w:rPr>
        <w:t xml:space="preserve">.   </w:t>
      </w:r>
    </w:p>
    <w:p w:rsidR="00935928" w:rsidRPr="00280264" w:rsidRDefault="00935928"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Также, не менее болезненным для банковского сектора стал полный уход таких платежных систем, как </w:t>
      </w:r>
      <w:r w:rsidRPr="00280264">
        <w:rPr>
          <w:color w:val="000000" w:themeColor="text1"/>
          <w:lang w:val="en-US"/>
        </w:rPr>
        <w:t>Visa</w:t>
      </w:r>
      <w:r w:rsidRPr="00280264">
        <w:rPr>
          <w:color w:val="000000" w:themeColor="text1"/>
        </w:rPr>
        <w:t xml:space="preserve"> и </w:t>
      </w:r>
      <w:r w:rsidR="00023EB4" w:rsidRPr="00280264">
        <w:rPr>
          <w:color w:val="000000" w:themeColor="text1"/>
          <w:lang w:val="en-US"/>
        </w:rPr>
        <w:t>MasterCard</w:t>
      </w:r>
      <w:r w:rsidRPr="00280264">
        <w:rPr>
          <w:color w:val="000000" w:themeColor="text1"/>
        </w:rPr>
        <w:t>. Прекращение их работы в России означало приостановление всех операций с их картами, как внутри страны, так и за ее пределами. Таким образом, в марте 2022 года платежная система была полностью заблокирована, что ударило не только по частным клиентам российских Банков, но и по корпоративным</w:t>
      </w:r>
      <w:r w:rsidR="00023EB4" w:rsidRPr="00280264">
        <w:rPr>
          <w:color w:val="000000" w:themeColor="text1"/>
        </w:rPr>
        <w:t xml:space="preserve"> клиентам</w:t>
      </w:r>
      <w:r w:rsidRPr="00280264">
        <w:rPr>
          <w:color w:val="000000" w:themeColor="text1"/>
        </w:rPr>
        <w:t xml:space="preserve">. Поскольку большая часть </w:t>
      </w:r>
      <w:proofErr w:type="spellStart"/>
      <w:r w:rsidRPr="00280264">
        <w:rPr>
          <w:color w:val="000000" w:themeColor="text1"/>
        </w:rPr>
        <w:t>эквайринговых</w:t>
      </w:r>
      <w:proofErr w:type="spellEnd"/>
      <w:r w:rsidRPr="00280264">
        <w:rPr>
          <w:color w:val="000000" w:themeColor="text1"/>
        </w:rPr>
        <w:t xml:space="preserve"> сетей была интегрирована через иностранные платежные системы,</w:t>
      </w:r>
      <w:r w:rsidR="00023EB4" w:rsidRPr="00280264">
        <w:rPr>
          <w:color w:val="000000" w:themeColor="text1"/>
        </w:rPr>
        <w:t xml:space="preserve"> компаниям пришлось в срочном порядке переориентировать расчетные механизмы</w:t>
      </w:r>
      <w:r w:rsidR="004C0568" w:rsidRPr="004C0568">
        <w:rPr>
          <w:color w:val="000000" w:themeColor="text1"/>
        </w:rPr>
        <w:t xml:space="preserve"> [4]</w:t>
      </w:r>
      <w:r w:rsidR="00023EB4" w:rsidRPr="00280264">
        <w:rPr>
          <w:color w:val="000000" w:themeColor="text1"/>
        </w:rPr>
        <w:t xml:space="preserve">. Помимо этого, клиенты, которые использовали карты для международных расчетов, столкнулись с невозможностью принимать оплату от иностранных партнеров и клиентов. Особенно это затронуло сферы электронной коммерции, гостиничного бизнеса, авиаперевозок и других отраслей, которые были ориентированы на расчетными с международными клиентами. Уход </w:t>
      </w:r>
      <w:r w:rsidR="00023EB4" w:rsidRPr="00280264">
        <w:rPr>
          <w:color w:val="000000" w:themeColor="text1"/>
          <w:lang w:val="en-US"/>
        </w:rPr>
        <w:t>Visa</w:t>
      </w:r>
      <w:r w:rsidR="00023EB4" w:rsidRPr="00280264">
        <w:rPr>
          <w:color w:val="000000" w:themeColor="text1"/>
        </w:rPr>
        <w:t xml:space="preserve"> и </w:t>
      </w:r>
      <w:r w:rsidR="00023EB4" w:rsidRPr="00280264">
        <w:rPr>
          <w:color w:val="000000" w:themeColor="text1"/>
          <w:lang w:val="en-US"/>
        </w:rPr>
        <w:t>MasterCard</w:t>
      </w:r>
      <w:r w:rsidR="00023EB4" w:rsidRPr="00280264">
        <w:rPr>
          <w:color w:val="000000" w:themeColor="text1"/>
        </w:rPr>
        <w:t xml:space="preserve"> также стал причиной приостановки ряда сервисов в сфере сегмента B2B и B2C, где обработка платежей базировалась на данных системах</w:t>
      </w:r>
      <w:r w:rsidR="004C0568">
        <w:rPr>
          <w:color w:val="000000" w:themeColor="text1"/>
        </w:rPr>
        <w:t xml:space="preserve"> </w:t>
      </w:r>
      <w:r w:rsidR="004C0568" w:rsidRPr="004C0568">
        <w:rPr>
          <w:color w:val="000000" w:themeColor="text1"/>
        </w:rPr>
        <w:t>[5]</w:t>
      </w:r>
      <w:r w:rsidR="00023EB4" w:rsidRPr="00280264">
        <w:rPr>
          <w:color w:val="000000" w:themeColor="text1"/>
        </w:rPr>
        <w:t>.</w:t>
      </w:r>
    </w:p>
    <w:p w:rsidR="00A13430" w:rsidRPr="00280264" w:rsidRDefault="00023EB4"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Ограничения, с которым столкнулся банковский сектор, </w:t>
      </w:r>
      <w:r w:rsidR="00A13430" w:rsidRPr="00280264">
        <w:rPr>
          <w:color w:val="000000" w:themeColor="text1"/>
        </w:rPr>
        <w:t>существенно</w:t>
      </w:r>
      <w:r w:rsidRPr="00280264">
        <w:rPr>
          <w:color w:val="000000" w:themeColor="text1"/>
        </w:rPr>
        <w:t xml:space="preserve"> </w:t>
      </w:r>
      <w:r w:rsidR="00A13430" w:rsidRPr="00280264">
        <w:rPr>
          <w:color w:val="000000" w:themeColor="text1"/>
        </w:rPr>
        <w:t>сократили</w:t>
      </w:r>
      <w:r w:rsidRPr="00280264">
        <w:rPr>
          <w:color w:val="000000" w:themeColor="text1"/>
        </w:rPr>
        <w:t xml:space="preserve"> возможности для международной торговли, что повлекло </w:t>
      </w:r>
      <w:r w:rsidR="00A13430" w:rsidRPr="00280264">
        <w:rPr>
          <w:color w:val="000000" w:themeColor="text1"/>
        </w:rPr>
        <w:t xml:space="preserve">за собой потери для Банков. Валютные операции стали более сложными и дорогими, так как уход от традиционных способов взаиморасчетов с иностранными контрагентами вынудило участников рынка обращаться к посредникам – «платежным агентам». Это привело к высоким издержкам, связанными с перебоями в сроках оплаты и удорожанием платежей. </w:t>
      </w:r>
      <w:r w:rsidR="00215EC4" w:rsidRPr="00280264">
        <w:rPr>
          <w:color w:val="000000" w:themeColor="text1"/>
        </w:rPr>
        <w:t xml:space="preserve"> Помимо этого, возникли проблемы с валютной ликвидностью, в частности, в долларах и евро, что усилило давление на внутренний курс рубля и затруднило операции хеджирования валютных рисков.</w:t>
      </w:r>
      <w:r w:rsidR="00A13430" w:rsidRPr="00280264">
        <w:rPr>
          <w:color w:val="000000" w:themeColor="text1"/>
        </w:rPr>
        <w:t xml:space="preserve"> </w:t>
      </w:r>
    </w:p>
    <w:p w:rsidR="005F2282" w:rsidRPr="00280264" w:rsidRDefault="003D6630"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На </w:t>
      </w:r>
      <w:r w:rsidR="00215EC4" w:rsidRPr="00280264">
        <w:rPr>
          <w:color w:val="000000" w:themeColor="text1"/>
        </w:rPr>
        <w:t>ф</w:t>
      </w:r>
      <w:r w:rsidRPr="00280264">
        <w:rPr>
          <w:color w:val="000000" w:themeColor="text1"/>
        </w:rPr>
        <w:t>оне</w:t>
      </w:r>
      <w:r w:rsidR="00215EC4" w:rsidRPr="00280264">
        <w:rPr>
          <w:color w:val="000000" w:themeColor="text1"/>
        </w:rPr>
        <w:t xml:space="preserve"> всех ограничений, с которыми пришлось столкнуться банковскому сектору, </w:t>
      </w:r>
      <w:r w:rsidRPr="00280264">
        <w:rPr>
          <w:color w:val="000000" w:themeColor="text1"/>
        </w:rPr>
        <w:t xml:space="preserve"> значительно возросли транзакционные издержки. </w:t>
      </w:r>
      <w:r w:rsidR="00215EC4" w:rsidRPr="00280264">
        <w:rPr>
          <w:color w:val="000000" w:themeColor="text1"/>
        </w:rPr>
        <w:t>Так, с</w:t>
      </w:r>
      <w:r w:rsidRPr="00280264">
        <w:rPr>
          <w:color w:val="000000" w:themeColor="text1"/>
        </w:rPr>
        <w:t xml:space="preserve">тремление обеспечить безопасность операций и </w:t>
      </w:r>
      <w:r w:rsidR="00215EC4" w:rsidRPr="00280264">
        <w:rPr>
          <w:color w:val="000000" w:themeColor="text1"/>
        </w:rPr>
        <w:t xml:space="preserve">в то же время </w:t>
      </w:r>
      <w:r w:rsidRPr="00280264">
        <w:rPr>
          <w:color w:val="000000" w:themeColor="text1"/>
        </w:rPr>
        <w:t>обойти блокировки</w:t>
      </w:r>
      <w:r w:rsidR="00215EC4" w:rsidRPr="00280264">
        <w:rPr>
          <w:color w:val="000000" w:themeColor="text1"/>
        </w:rPr>
        <w:t>,</w:t>
      </w:r>
      <w:r w:rsidRPr="00280264">
        <w:rPr>
          <w:color w:val="000000" w:themeColor="text1"/>
        </w:rPr>
        <w:t xml:space="preserve"> привело к росту расходов на комплаенс, юридическое сопровождение и техническую интеграцию с новыми платёжными каналами. </w:t>
      </w:r>
      <w:r w:rsidR="005F2282" w:rsidRPr="00280264">
        <w:rPr>
          <w:color w:val="000000" w:themeColor="text1"/>
        </w:rPr>
        <w:t>Всё это привело к тому, что кредитным организациям пришлось столкнуться с необходимостью переобучения сотрудников, которые занимались сопровождением внешнеэкономической деятельности и  работали исключительно с международными платформами. В Банках стали перестраивать и модернизировать внутренние платежные системы. Затраты на интеграцию данных процессов легли на плечи как крупнейших банков, так и средних участников рынка. Для небольших игроков подобные изменения стали неподъёмными, что привело к их уходу из сегмента трансграничных расчётов</w:t>
      </w:r>
      <w:r w:rsidR="004C0568" w:rsidRPr="004C0568">
        <w:rPr>
          <w:color w:val="000000" w:themeColor="text1"/>
        </w:rPr>
        <w:t xml:space="preserve"> [6]</w:t>
      </w:r>
      <w:r w:rsidR="005F2282" w:rsidRPr="00280264">
        <w:rPr>
          <w:color w:val="000000" w:themeColor="text1"/>
        </w:rPr>
        <w:t>.</w:t>
      </w:r>
    </w:p>
    <w:p w:rsidR="003D6630" w:rsidRPr="00280264" w:rsidRDefault="000363CE"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Вышеперечисленные сложности затронули не только сегмент корпоративных клиентов, но также оказали влияние и на розничный бизнес. Уход платежных систем повлек за собой массовое закрытие зарубежных сервисов для российских клиентов. Пользователи стали сталкиваться с трудностями при оплате услуг и подписок на различных иностранных </w:t>
      </w:r>
      <w:r w:rsidRPr="00280264">
        <w:rPr>
          <w:color w:val="000000" w:themeColor="text1"/>
        </w:rPr>
        <w:lastRenderedPageBreak/>
        <w:t>платформах. В частности, это затронуло и сферу туризма: п</w:t>
      </w:r>
      <w:r w:rsidR="003D6630" w:rsidRPr="00280264">
        <w:rPr>
          <w:color w:val="000000" w:themeColor="text1"/>
        </w:rPr>
        <w:t>оездки за границу стали сопряжены проблемами при оплате карт</w:t>
      </w:r>
      <w:r w:rsidRPr="00280264">
        <w:rPr>
          <w:color w:val="000000" w:themeColor="text1"/>
        </w:rPr>
        <w:t>ой</w:t>
      </w:r>
      <w:r w:rsidR="003D6630" w:rsidRPr="00280264">
        <w:rPr>
          <w:color w:val="000000" w:themeColor="text1"/>
        </w:rPr>
        <w:t xml:space="preserve">, </w:t>
      </w:r>
      <w:r w:rsidRPr="00280264">
        <w:rPr>
          <w:color w:val="000000" w:themeColor="text1"/>
        </w:rPr>
        <w:t>а бронирование отелей на зарубежных сайтах стало недоступным. Несомненно, ограничения вызвали недовольство среди населения и усилило отток средств в наличную форму</w:t>
      </w:r>
      <w:r w:rsidR="00AA17E1" w:rsidRPr="00280264">
        <w:rPr>
          <w:color w:val="000000" w:themeColor="text1"/>
        </w:rPr>
        <w:t xml:space="preserve">. </w:t>
      </w:r>
      <w:r w:rsidR="003D6630" w:rsidRPr="00280264">
        <w:rPr>
          <w:color w:val="000000" w:themeColor="text1"/>
        </w:rPr>
        <w:t xml:space="preserve"> Банки оказались в ситуации, когда привычные инструменты поддержки клиентов больше не работали, а новых механизмов не существовало</w:t>
      </w:r>
      <w:r w:rsidR="004C0568" w:rsidRPr="004C0568">
        <w:rPr>
          <w:color w:val="000000" w:themeColor="text1"/>
        </w:rPr>
        <w:t xml:space="preserve"> [7]</w:t>
      </w:r>
      <w:r w:rsidR="003D6630" w:rsidRPr="00280264">
        <w:rPr>
          <w:color w:val="000000" w:themeColor="text1"/>
        </w:rPr>
        <w:t xml:space="preserve">. </w:t>
      </w:r>
    </w:p>
    <w:p w:rsidR="00AA17E1" w:rsidRPr="00280264" w:rsidRDefault="00AA17E1" w:rsidP="00280264">
      <w:pPr>
        <w:pStyle w:val="a7"/>
        <w:spacing w:before="0" w:beforeAutospacing="0" w:after="0" w:afterAutospacing="0"/>
        <w:ind w:firstLine="709"/>
        <w:contextualSpacing/>
        <w:jc w:val="both"/>
        <w:rPr>
          <w:color w:val="000000" w:themeColor="text1"/>
        </w:rPr>
      </w:pPr>
      <w:r w:rsidRPr="00280264">
        <w:rPr>
          <w:color w:val="000000" w:themeColor="text1"/>
        </w:rPr>
        <w:t>Вместе с тем, увеличилось</w:t>
      </w:r>
      <w:r w:rsidR="003D6630" w:rsidRPr="00280264">
        <w:rPr>
          <w:color w:val="000000" w:themeColor="text1"/>
        </w:rPr>
        <w:t xml:space="preserve"> количество возвратов</w:t>
      </w:r>
      <w:r w:rsidRPr="00280264">
        <w:rPr>
          <w:color w:val="000000" w:themeColor="text1"/>
        </w:rPr>
        <w:t xml:space="preserve"> и</w:t>
      </w:r>
      <w:r w:rsidR="003D6630" w:rsidRPr="00280264">
        <w:rPr>
          <w:color w:val="000000" w:themeColor="text1"/>
        </w:rPr>
        <w:t xml:space="preserve"> споров по платежам отменённых операций. Международные партнёры, </w:t>
      </w:r>
      <w:r w:rsidRPr="00280264">
        <w:rPr>
          <w:color w:val="000000" w:themeColor="text1"/>
        </w:rPr>
        <w:t xml:space="preserve">с которыми сотрудничали российские Банки, </w:t>
      </w:r>
      <w:r w:rsidR="003D6630" w:rsidRPr="00280264">
        <w:rPr>
          <w:color w:val="000000" w:themeColor="text1"/>
        </w:rPr>
        <w:t xml:space="preserve">стали отказываться от </w:t>
      </w:r>
      <w:r w:rsidR="00E16A98" w:rsidRPr="00280264">
        <w:rPr>
          <w:color w:val="000000" w:themeColor="text1"/>
        </w:rPr>
        <w:t>совместной работы</w:t>
      </w:r>
      <w:r w:rsidRPr="00280264">
        <w:rPr>
          <w:color w:val="000000" w:themeColor="text1"/>
        </w:rPr>
        <w:t>, так как боялись подвергнуться вторичным санкциям.</w:t>
      </w:r>
      <w:r w:rsidR="003D6630" w:rsidRPr="00280264">
        <w:rPr>
          <w:color w:val="000000" w:themeColor="text1"/>
        </w:rPr>
        <w:t xml:space="preserve"> </w:t>
      </w:r>
      <w:r w:rsidRPr="00280264">
        <w:rPr>
          <w:color w:val="000000" w:themeColor="text1"/>
        </w:rPr>
        <w:t>В свою очередь, э</w:t>
      </w:r>
      <w:r w:rsidR="003D6630" w:rsidRPr="00280264">
        <w:rPr>
          <w:color w:val="000000" w:themeColor="text1"/>
        </w:rPr>
        <w:t>то усилило фрагментацию финансового пространства, когда одни банки остались относительно функциональными, а другие фактически выпали из глобального оборота. Такая поляризация усилила неравномерность условий на рынке и создала предпосылки для дальнейшей монополизации отдельных направлений финансовой деятельности.</w:t>
      </w:r>
      <w:r w:rsidRPr="00280264">
        <w:rPr>
          <w:color w:val="000000" w:themeColor="text1"/>
        </w:rPr>
        <w:t xml:space="preserve"> О</w:t>
      </w:r>
      <w:r w:rsidR="003D6630" w:rsidRPr="00280264">
        <w:rPr>
          <w:color w:val="000000" w:themeColor="text1"/>
        </w:rPr>
        <w:t>тключение от SWIFT вызвало осложнения в межбанковской верификаци</w:t>
      </w:r>
      <w:r w:rsidRPr="00280264">
        <w:rPr>
          <w:color w:val="000000" w:themeColor="text1"/>
        </w:rPr>
        <w:t>и и идентификации платежей. Если р</w:t>
      </w:r>
      <w:r w:rsidR="003D6630" w:rsidRPr="00280264">
        <w:rPr>
          <w:color w:val="000000" w:themeColor="text1"/>
        </w:rPr>
        <w:t xml:space="preserve">анее единая система </w:t>
      </w:r>
      <w:r w:rsidRPr="00280264">
        <w:rPr>
          <w:color w:val="000000" w:themeColor="text1"/>
        </w:rPr>
        <w:t>MT-сообщений давала возможность</w:t>
      </w:r>
      <w:r w:rsidR="003D6630" w:rsidRPr="00280264">
        <w:rPr>
          <w:color w:val="000000" w:themeColor="text1"/>
        </w:rPr>
        <w:t xml:space="preserve"> банкам идентифицировать друг друга, отслеживать статусы переводов и подтверждать транзакци</w:t>
      </w:r>
      <w:r w:rsidRPr="00280264">
        <w:rPr>
          <w:color w:val="000000" w:themeColor="text1"/>
        </w:rPr>
        <w:t>и, то п</w:t>
      </w:r>
      <w:r w:rsidR="003D6630" w:rsidRPr="00280264">
        <w:rPr>
          <w:color w:val="000000" w:themeColor="text1"/>
        </w:rPr>
        <w:t>осле введения ограничений возможности были утрачены</w:t>
      </w:r>
      <w:r w:rsidRPr="00280264">
        <w:rPr>
          <w:color w:val="000000" w:themeColor="text1"/>
        </w:rPr>
        <w:t xml:space="preserve">. Это увеличило </w:t>
      </w:r>
      <w:r w:rsidR="003D6630" w:rsidRPr="00280264">
        <w:rPr>
          <w:color w:val="000000" w:themeColor="text1"/>
        </w:rPr>
        <w:t>риск ошибочной маршрутизации платежей</w:t>
      </w:r>
      <w:r w:rsidRPr="00280264">
        <w:rPr>
          <w:color w:val="000000" w:themeColor="text1"/>
        </w:rPr>
        <w:t>, поскольку к</w:t>
      </w:r>
      <w:r w:rsidR="003D6630" w:rsidRPr="00280264">
        <w:rPr>
          <w:color w:val="000000" w:themeColor="text1"/>
        </w:rPr>
        <w:t>аждое финансовое сообщение теперь требует</w:t>
      </w:r>
      <w:r w:rsidRPr="00280264">
        <w:rPr>
          <w:color w:val="000000" w:themeColor="text1"/>
        </w:rPr>
        <w:t xml:space="preserve"> ручной сверки и подтверждения</w:t>
      </w:r>
      <w:r w:rsidR="004C0568" w:rsidRPr="004C0568">
        <w:rPr>
          <w:color w:val="000000" w:themeColor="text1"/>
        </w:rPr>
        <w:t xml:space="preserve"> [8]</w:t>
      </w:r>
      <w:r w:rsidRPr="00280264">
        <w:rPr>
          <w:color w:val="000000" w:themeColor="text1"/>
        </w:rPr>
        <w:t>.</w:t>
      </w:r>
    </w:p>
    <w:p w:rsidR="00470901" w:rsidRPr="00280264" w:rsidRDefault="005F2282"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Как известно, санкционное давление оказало существенное влияние на функционирование ключевых отраслей экономики. Чтобы поддерживать расчеты с международными компаниями и продолжать вести внешнеэкономическую деятельность,  большая часть операций стала проводиться через посредников в дружественных странах.  Для предприятий малого и среднего бизнеса, которые ранее работали с западными партнёрами через </w:t>
      </w:r>
      <w:r w:rsidRPr="00280264">
        <w:rPr>
          <w:color w:val="000000" w:themeColor="text1"/>
          <w:lang w:val="en-US"/>
        </w:rPr>
        <w:t>SWIFT</w:t>
      </w:r>
      <w:r w:rsidRPr="00280264">
        <w:rPr>
          <w:color w:val="000000" w:themeColor="text1"/>
        </w:rPr>
        <w:t xml:space="preserve">, эти изменения стали фатальными. Увеличение комиссионных расходов повлияло на чистую прибыль, по этой причине для многих компаний работа в таком формате стала нецелесообразна. </w:t>
      </w:r>
    </w:p>
    <w:p w:rsidR="00900A4C" w:rsidRPr="00280264" w:rsidRDefault="00470901" w:rsidP="00280264">
      <w:pPr>
        <w:pStyle w:val="a7"/>
        <w:spacing w:before="0" w:beforeAutospacing="0" w:after="0" w:afterAutospacing="0"/>
        <w:ind w:firstLine="709"/>
        <w:contextualSpacing/>
        <w:jc w:val="both"/>
        <w:rPr>
          <w:color w:val="000000" w:themeColor="text1"/>
        </w:rPr>
      </w:pPr>
      <w:r w:rsidRPr="00280264">
        <w:rPr>
          <w:color w:val="000000" w:themeColor="text1"/>
        </w:rPr>
        <w:t>Р</w:t>
      </w:r>
      <w:r w:rsidR="005F2282" w:rsidRPr="00280264">
        <w:rPr>
          <w:color w:val="000000" w:themeColor="text1"/>
        </w:rPr>
        <w:t xml:space="preserve">ассматривая последствия ограничений на операции </w:t>
      </w:r>
      <w:r w:rsidR="002107AB" w:rsidRPr="00280264">
        <w:rPr>
          <w:color w:val="000000" w:themeColor="text1"/>
        </w:rPr>
        <w:t>с безналичными расчетами, можно увидеть, что разрыв связей с международными клиринговыми центрами повлиял на обслуживание контрактов. Особенно это коснулось отр</w:t>
      </w:r>
      <w:r w:rsidRPr="00280264">
        <w:rPr>
          <w:color w:val="000000" w:themeColor="text1"/>
        </w:rPr>
        <w:t>аслей</w:t>
      </w:r>
      <w:r w:rsidR="002107AB" w:rsidRPr="00280264">
        <w:rPr>
          <w:color w:val="000000" w:themeColor="text1"/>
        </w:rPr>
        <w:t>, которые были критически зависимы от расчетов в долларах и евро, в частности, это энергетика и добыча сырья. В этих секторах зарубежные партнёры начали настаивать на предварительном депонировании средств, предоставлении финансовых гарантий, а также документальном подтверждении прозрачности сделок. Это значительно усложнило финансовое планирование и увеличило количество незакрытых контрактов и срывов поставок.</w:t>
      </w:r>
      <w:r w:rsidRPr="00280264">
        <w:rPr>
          <w:color w:val="000000" w:themeColor="text1"/>
        </w:rPr>
        <w:t xml:space="preserve"> </w:t>
      </w:r>
      <w:r w:rsidR="00640C55" w:rsidRPr="00280264">
        <w:rPr>
          <w:color w:val="000000" w:themeColor="text1"/>
        </w:rPr>
        <w:t xml:space="preserve">Сфера транспортной логистики также столкнулась с трудностями, связанными с ограничениями. Международные перевозчики, которые работали через </w:t>
      </w:r>
      <w:r w:rsidR="00640C55" w:rsidRPr="00280264">
        <w:rPr>
          <w:color w:val="000000" w:themeColor="text1"/>
          <w:lang w:val="en-US"/>
        </w:rPr>
        <w:t>SWIFT</w:t>
      </w:r>
      <w:r w:rsidR="00640C55" w:rsidRPr="00280264">
        <w:rPr>
          <w:color w:val="000000" w:themeColor="text1"/>
        </w:rPr>
        <w:t xml:space="preserve"> или производили расчеты через карты платежных систем </w:t>
      </w:r>
      <w:r w:rsidR="00640C55" w:rsidRPr="00280264">
        <w:rPr>
          <w:color w:val="000000" w:themeColor="text1"/>
          <w:lang w:val="en-US"/>
        </w:rPr>
        <w:t>Visa</w:t>
      </w:r>
      <w:r w:rsidR="00640C55" w:rsidRPr="00280264">
        <w:rPr>
          <w:color w:val="000000" w:themeColor="text1"/>
        </w:rPr>
        <w:t xml:space="preserve"> и </w:t>
      </w:r>
      <w:r w:rsidR="00640C55" w:rsidRPr="00280264">
        <w:rPr>
          <w:color w:val="000000" w:themeColor="text1"/>
          <w:lang w:val="en-US"/>
        </w:rPr>
        <w:t>MasterCard</w:t>
      </w:r>
      <w:r w:rsidR="00640C55" w:rsidRPr="00280264">
        <w:rPr>
          <w:color w:val="000000" w:themeColor="text1"/>
        </w:rPr>
        <w:t>, стали приостанавливать сотрудничество с российскими компаниями. Это затронуло множество разных сфер, которые связаны с импортом и экспортом. В частности, отразилось на фармацевтике, скоропортящихся товарах и машиностроении. Увеличились сроки</w:t>
      </w:r>
      <w:r w:rsidRPr="00280264">
        <w:rPr>
          <w:color w:val="000000" w:themeColor="text1"/>
        </w:rPr>
        <w:t xml:space="preserve"> поставок</w:t>
      </w:r>
      <w:r w:rsidR="00640C55" w:rsidRPr="00280264">
        <w:rPr>
          <w:color w:val="000000" w:themeColor="text1"/>
        </w:rPr>
        <w:t>, поскольку проведение платежей растягиваются несколько дней, вместе с тем стоимост</w:t>
      </w:r>
      <w:r w:rsidRPr="00280264">
        <w:rPr>
          <w:color w:val="000000" w:themeColor="text1"/>
        </w:rPr>
        <w:t>ь логистических</w:t>
      </w:r>
      <w:r w:rsidR="00640C55" w:rsidRPr="00280264">
        <w:rPr>
          <w:color w:val="000000" w:themeColor="text1"/>
        </w:rPr>
        <w:t xml:space="preserve"> контрактов </w:t>
      </w:r>
      <w:r w:rsidRPr="00280264">
        <w:rPr>
          <w:color w:val="000000" w:themeColor="text1"/>
        </w:rPr>
        <w:t>возросла на 15-20% из-за валютных ограничений</w:t>
      </w:r>
      <w:r w:rsidR="004C0568" w:rsidRPr="004C0568">
        <w:rPr>
          <w:color w:val="000000" w:themeColor="text1"/>
        </w:rPr>
        <w:t xml:space="preserve"> [9]</w:t>
      </w:r>
      <w:r w:rsidRPr="00280264">
        <w:rPr>
          <w:color w:val="000000" w:themeColor="text1"/>
        </w:rPr>
        <w:t xml:space="preserve">. </w:t>
      </w:r>
    </w:p>
    <w:p w:rsidR="00055E57" w:rsidRPr="00280264" w:rsidRDefault="00055E57"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Исходя из всех вышеперечисленных ограничений, банковский сектор России оказался в условиях частичной изоляции. Это вынудило участников финансового рынка пересматривать уже существующие процессы – от расчётных систем до формата взаимодействия с клиентами.  Однако, восстановить прежние объёмы трансграничных операций в текущей геополитической обстановке крайне затруднительно, а для многих банков вовсе невозможно без пересмотра бизнес-модели. На фоне санкционного давления, стало очевидно, что использование внешней инфраструктуры и зарубежных технологий,  отныне недопустимо. В этих условиях началось активное формирование собственной финансовой экосистемы, которая будет направлена на обеспечение стабильности и платёжного суверенитета. </w:t>
      </w:r>
    </w:p>
    <w:p w:rsidR="00925514" w:rsidRPr="00280264" w:rsidRDefault="00103FAA" w:rsidP="00280264">
      <w:pPr>
        <w:pStyle w:val="a7"/>
        <w:spacing w:before="0" w:beforeAutospacing="0" w:after="0" w:afterAutospacing="0"/>
        <w:ind w:firstLine="709"/>
        <w:contextualSpacing/>
        <w:jc w:val="both"/>
        <w:rPr>
          <w:color w:val="000000" w:themeColor="text1"/>
        </w:rPr>
      </w:pPr>
      <w:r w:rsidRPr="00280264">
        <w:rPr>
          <w:color w:val="000000" w:themeColor="text1"/>
        </w:rPr>
        <w:lastRenderedPageBreak/>
        <w:t>Ввиду того, что международные платежные инструменты стали недоступны, возникла острая необходимость в создании и развитии собственных инструментов для проведения расчетов. Так, к</w:t>
      </w:r>
      <w:r w:rsidR="00925514" w:rsidRPr="00280264">
        <w:rPr>
          <w:color w:val="000000" w:themeColor="text1"/>
        </w:rPr>
        <w:t xml:space="preserve">лючевым </w:t>
      </w:r>
      <w:r w:rsidRPr="00280264">
        <w:rPr>
          <w:color w:val="000000" w:themeColor="text1"/>
        </w:rPr>
        <w:t>этапом</w:t>
      </w:r>
      <w:r w:rsidR="00925514" w:rsidRPr="00280264">
        <w:rPr>
          <w:color w:val="000000" w:themeColor="text1"/>
        </w:rPr>
        <w:t xml:space="preserve"> стало создание Системы передач</w:t>
      </w:r>
      <w:r w:rsidRPr="00280264">
        <w:rPr>
          <w:color w:val="000000" w:themeColor="text1"/>
        </w:rPr>
        <w:t>и финансовых сообщений (СПФС) – альтернатива</w:t>
      </w:r>
      <w:r w:rsidR="00925514" w:rsidRPr="00280264">
        <w:rPr>
          <w:color w:val="000000" w:themeColor="text1"/>
        </w:rPr>
        <w:t xml:space="preserve"> SWIFT, </w:t>
      </w:r>
      <w:r w:rsidRPr="00280264">
        <w:rPr>
          <w:color w:val="000000" w:themeColor="text1"/>
        </w:rPr>
        <w:t xml:space="preserve">которая была разработана </w:t>
      </w:r>
      <w:r w:rsidR="00925514" w:rsidRPr="00280264">
        <w:rPr>
          <w:color w:val="000000" w:themeColor="text1"/>
        </w:rPr>
        <w:t xml:space="preserve">Банком России ещё в 2014 году. Первоначально </w:t>
      </w:r>
      <w:r w:rsidRPr="00280264">
        <w:rPr>
          <w:color w:val="000000" w:themeColor="text1"/>
        </w:rPr>
        <w:t xml:space="preserve">данная система </w:t>
      </w:r>
      <w:r w:rsidR="00925514" w:rsidRPr="00280264">
        <w:rPr>
          <w:color w:val="000000" w:themeColor="text1"/>
        </w:rPr>
        <w:t>имела ограниченное применение, однако с 2022 года</w:t>
      </w:r>
      <w:r w:rsidRPr="00280264">
        <w:rPr>
          <w:color w:val="000000" w:themeColor="text1"/>
        </w:rPr>
        <w:t>,</w:t>
      </w:r>
      <w:r w:rsidR="00925514" w:rsidRPr="00280264">
        <w:rPr>
          <w:color w:val="000000" w:themeColor="text1"/>
        </w:rPr>
        <w:t xml:space="preserve"> её значимость резко возросла. После </w:t>
      </w:r>
      <w:r w:rsidRPr="00280264">
        <w:rPr>
          <w:color w:val="000000" w:themeColor="text1"/>
        </w:rPr>
        <w:t xml:space="preserve">введения санкций и отключения доступа к </w:t>
      </w:r>
      <w:r w:rsidRPr="00280264">
        <w:rPr>
          <w:color w:val="000000" w:themeColor="text1"/>
          <w:lang w:val="en-US"/>
        </w:rPr>
        <w:t>SWIFT</w:t>
      </w:r>
      <w:r w:rsidRPr="00280264">
        <w:rPr>
          <w:color w:val="000000" w:themeColor="text1"/>
        </w:rPr>
        <w:t>,</w:t>
      </w:r>
      <w:r w:rsidR="00925514" w:rsidRPr="00280264">
        <w:rPr>
          <w:color w:val="000000" w:themeColor="text1"/>
        </w:rPr>
        <w:t xml:space="preserve"> отечественные </w:t>
      </w:r>
      <w:r w:rsidRPr="00280264">
        <w:rPr>
          <w:color w:val="000000" w:themeColor="text1"/>
        </w:rPr>
        <w:t>Б</w:t>
      </w:r>
      <w:r w:rsidR="00925514" w:rsidRPr="00280264">
        <w:rPr>
          <w:color w:val="000000" w:themeColor="text1"/>
        </w:rPr>
        <w:t>анки начали активно подключаться к СПФС</w:t>
      </w:r>
      <w:r w:rsidRPr="00280264">
        <w:rPr>
          <w:color w:val="000000" w:themeColor="text1"/>
        </w:rPr>
        <w:t>,</w:t>
      </w:r>
      <w:r w:rsidR="00925514" w:rsidRPr="00280264">
        <w:rPr>
          <w:color w:val="000000" w:themeColor="text1"/>
        </w:rPr>
        <w:t xml:space="preserve"> в том числе </w:t>
      </w:r>
      <w:r w:rsidRPr="00280264">
        <w:rPr>
          <w:color w:val="000000" w:themeColor="text1"/>
        </w:rPr>
        <w:t>в рамках сотрудничества с</w:t>
      </w:r>
      <w:r w:rsidR="00925514" w:rsidRPr="00280264">
        <w:rPr>
          <w:color w:val="000000" w:themeColor="text1"/>
        </w:rPr>
        <w:t xml:space="preserve"> крупными российскими компаниями и финансовыми организациями стран ЕАЭС. </w:t>
      </w:r>
    </w:p>
    <w:p w:rsidR="00555107" w:rsidRDefault="00736493" w:rsidP="00555107">
      <w:pPr>
        <w:pStyle w:val="a7"/>
        <w:spacing w:before="0" w:beforeAutospacing="0" w:after="0" w:afterAutospacing="0"/>
        <w:ind w:firstLine="709"/>
        <w:contextualSpacing/>
        <w:jc w:val="both"/>
        <w:rPr>
          <w:color w:val="000000" w:themeColor="text1"/>
        </w:rPr>
      </w:pPr>
      <w:r w:rsidRPr="00280264">
        <w:rPr>
          <w:color w:val="000000" w:themeColor="text1"/>
        </w:rPr>
        <w:t>Помимо этого, значимый</w:t>
      </w:r>
      <w:r w:rsidR="00925514" w:rsidRPr="00280264">
        <w:rPr>
          <w:color w:val="000000" w:themeColor="text1"/>
        </w:rPr>
        <w:t xml:space="preserve"> интерес к интеграции в СПФС </w:t>
      </w:r>
      <w:r w:rsidRPr="00280264">
        <w:rPr>
          <w:color w:val="000000" w:themeColor="text1"/>
        </w:rPr>
        <w:t>стали проявлять</w:t>
      </w:r>
      <w:r w:rsidR="00925514" w:rsidRPr="00280264">
        <w:rPr>
          <w:color w:val="000000" w:themeColor="text1"/>
        </w:rPr>
        <w:t xml:space="preserve"> партнёры по БРИКС. </w:t>
      </w:r>
      <w:r w:rsidRPr="00280264">
        <w:rPr>
          <w:color w:val="000000" w:themeColor="text1"/>
        </w:rPr>
        <w:t xml:space="preserve">Банковские учреждения Индии и Китая стали рассматривать возможность присоединения к системе альтернативных расчетов, чтобы не быть зависимыми от западных регуляторов. </w:t>
      </w:r>
      <w:r w:rsidR="002E5C32" w:rsidRPr="00280264">
        <w:rPr>
          <w:color w:val="000000" w:themeColor="text1"/>
        </w:rPr>
        <w:t>Использование СПФС на основе двусторонних соглашений или в рамках региональных платформ открывает основу для новой модели международных расчетов. Данная модель является более независимой, гибкой и технологичной, а также предполагает использование разных валют.</w:t>
      </w:r>
      <w:r w:rsidR="00555107">
        <w:rPr>
          <w:color w:val="000000" w:themeColor="text1"/>
        </w:rPr>
        <w:t xml:space="preserve"> </w:t>
      </w:r>
    </w:p>
    <w:p w:rsidR="00555107" w:rsidRDefault="00555107" w:rsidP="00280264">
      <w:pPr>
        <w:pStyle w:val="a7"/>
        <w:spacing w:before="0" w:beforeAutospacing="0" w:after="0" w:afterAutospacing="0"/>
        <w:ind w:firstLine="709"/>
        <w:contextualSpacing/>
        <w:jc w:val="both"/>
        <w:rPr>
          <w:color w:val="000000" w:themeColor="text1"/>
        </w:rPr>
      </w:pPr>
      <w:r w:rsidRPr="00555107">
        <w:rPr>
          <w:color w:val="000000" w:themeColor="text1"/>
        </w:rPr>
        <w:t>Анализ динамики международных расчетов российских резидентов за товары и услуги за 2024 год показывает дальнейшее увеличение доли российского рубля и валют дружественных стран в таких операциях. Этот процесс способствует минимизации рисков, связанных с возможными задержками и блокировками международных платежей, обеспечивая более устойчивое и предсказуемое проведение внешнеторговых транзакций.</w:t>
      </w:r>
      <w:r>
        <w:rPr>
          <w:color w:val="000000" w:themeColor="text1"/>
        </w:rPr>
        <w:t xml:space="preserve"> Данные отражены на рисунке 1</w:t>
      </w:r>
      <w:r w:rsidR="00C33752">
        <w:rPr>
          <w:color w:val="000000" w:themeColor="text1"/>
          <w:lang w:val="en-US"/>
        </w:rPr>
        <w:t xml:space="preserve"> [10]</w:t>
      </w:r>
      <w:r>
        <w:rPr>
          <w:color w:val="000000" w:themeColor="text1"/>
        </w:rPr>
        <w:t>.</w:t>
      </w:r>
    </w:p>
    <w:p w:rsidR="00C65578" w:rsidRDefault="00C65578" w:rsidP="00C65578">
      <w:pPr>
        <w:pStyle w:val="a7"/>
        <w:spacing w:before="0" w:beforeAutospacing="0" w:after="0" w:afterAutospacing="0"/>
        <w:ind w:firstLine="709"/>
        <w:contextualSpacing/>
        <w:jc w:val="center"/>
        <w:rPr>
          <w:color w:val="000000" w:themeColor="text1"/>
        </w:rPr>
      </w:pPr>
      <w:r w:rsidRPr="00C65578">
        <w:rPr>
          <w:noProof/>
          <w:sz w:val="18"/>
          <w:szCs w:val="18"/>
        </w:rPr>
        <w:drawing>
          <wp:inline distT="0" distB="0" distL="0" distR="0" wp14:anchorId="39F0642D" wp14:editId="563FF69A">
            <wp:extent cx="5715000" cy="1287780"/>
            <wp:effectExtent l="0" t="0" r="0" b="762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555107" w:rsidRPr="00DF6E66" w:rsidRDefault="00555107" w:rsidP="00C65578">
      <w:pPr>
        <w:spacing w:before="120" w:after="0" w:line="240" w:lineRule="auto"/>
        <w:ind w:firstLine="709"/>
        <w:jc w:val="center"/>
        <w:rPr>
          <w:rStyle w:val="a5"/>
          <w:sz w:val="24"/>
          <w:szCs w:val="24"/>
        </w:rPr>
      </w:pPr>
      <w:r w:rsidRPr="00DF6E66">
        <w:rPr>
          <w:rStyle w:val="a5"/>
          <w:sz w:val="24"/>
          <w:szCs w:val="24"/>
        </w:rPr>
        <w:t xml:space="preserve">Рисунок 1 – </w:t>
      </w:r>
      <w:r w:rsidRPr="007B3984">
        <w:rPr>
          <w:rStyle w:val="a5"/>
          <w:sz w:val="24"/>
          <w:szCs w:val="24"/>
        </w:rPr>
        <w:t>Доля платежных карт «Мир» по объему</w:t>
      </w:r>
    </w:p>
    <w:p w:rsidR="00555107" w:rsidRPr="00DF6E66" w:rsidRDefault="00555107" w:rsidP="00555107">
      <w:pPr>
        <w:spacing w:after="120" w:line="240" w:lineRule="auto"/>
        <w:ind w:firstLine="709"/>
        <w:jc w:val="center"/>
        <w:rPr>
          <w:rStyle w:val="a5"/>
          <w:sz w:val="24"/>
          <w:szCs w:val="24"/>
        </w:rPr>
      </w:pPr>
      <w:r w:rsidRPr="007B3984">
        <w:rPr>
          <w:rStyle w:val="a5"/>
          <w:sz w:val="24"/>
          <w:szCs w:val="24"/>
        </w:rPr>
        <w:t>операций и количеству выданных карт</w:t>
      </w:r>
    </w:p>
    <w:p w:rsidR="007B3984" w:rsidRDefault="002E5C32"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Вместе с развитием национальной платежной системы  и межбанковских коммуникаций в сегменте </w:t>
      </w:r>
      <w:r w:rsidRPr="00280264">
        <w:rPr>
          <w:color w:val="000000" w:themeColor="text1"/>
          <w:lang w:val="en-US"/>
        </w:rPr>
        <w:t>B</w:t>
      </w:r>
      <w:r w:rsidRPr="00280264">
        <w:rPr>
          <w:color w:val="000000" w:themeColor="text1"/>
        </w:rPr>
        <w:t>2</w:t>
      </w:r>
      <w:r w:rsidRPr="00280264">
        <w:rPr>
          <w:color w:val="000000" w:themeColor="text1"/>
          <w:lang w:val="en-US"/>
        </w:rPr>
        <w:t>B</w:t>
      </w:r>
      <w:r w:rsidRPr="00280264">
        <w:rPr>
          <w:color w:val="000000" w:themeColor="text1"/>
        </w:rPr>
        <w:t xml:space="preserve">, активный рост демонстрирует и розничная платежная система. После </w:t>
      </w:r>
      <w:r w:rsidR="00925514" w:rsidRPr="00280264">
        <w:rPr>
          <w:color w:val="000000" w:themeColor="text1"/>
        </w:rPr>
        <w:t>уход</w:t>
      </w:r>
      <w:r w:rsidRPr="00280264">
        <w:rPr>
          <w:color w:val="000000" w:themeColor="text1"/>
        </w:rPr>
        <w:t>а</w:t>
      </w:r>
      <w:r w:rsidR="00925514" w:rsidRPr="00280264">
        <w:rPr>
          <w:color w:val="000000" w:themeColor="text1"/>
        </w:rPr>
        <w:t xml:space="preserve"> </w:t>
      </w:r>
      <w:proofErr w:type="spellStart"/>
      <w:r w:rsidR="00925514" w:rsidRPr="00280264">
        <w:rPr>
          <w:color w:val="000000" w:themeColor="text1"/>
        </w:rPr>
        <w:t>Visa</w:t>
      </w:r>
      <w:proofErr w:type="spellEnd"/>
      <w:r w:rsidR="00925514" w:rsidRPr="00280264">
        <w:rPr>
          <w:color w:val="000000" w:themeColor="text1"/>
        </w:rPr>
        <w:t xml:space="preserve"> и </w:t>
      </w:r>
      <w:proofErr w:type="spellStart"/>
      <w:r w:rsidR="00925514" w:rsidRPr="00280264">
        <w:rPr>
          <w:color w:val="000000" w:themeColor="text1"/>
        </w:rPr>
        <w:t>MasterCard</w:t>
      </w:r>
      <w:proofErr w:type="spellEnd"/>
      <w:r w:rsidR="00925514" w:rsidRPr="00280264">
        <w:rPr>
          <w:color w:val="000000" w:themeColor="text1"/>
        </w:rPr>
        <w:t xml:space="preserve"> </w:t>
      </w:r>
      <w:r w:rsidRPr="00280264">
        <w:rPr>
          <w:color w:val="000000" w:themeColor="text1"/>
        </w:rPr>
        <w:t>из России, отечественная карта «</w:t>
      </w:r>
      <w:r w:rsidR="00925514" w:rsidRPr="00280264">
        <w:rPr>
          <w:color w:val="000000" w:themeColor="text1"/>
        </w:rPr>
        <w:t xml:space="preserve">Мир» стала основным инструментом безналичной оплаты внутри страны. </w:t>
      </w:r>
      <w:r w:rsidRPr="00280264">
        <w:rPr>
          <w:color w:val="000000" w:themeColor="text1"/>
        </w:rPr>
        <w:t>В результате, э</w:t>
      </w:r>
      <w:r w:rsidR="00925514" w:rsidRPr="00280264">
        <w:rPr>
          <w:color w:val="000000" w:themeColor="text1"/>
        </w:rPr>
        <w:t xml:space="preserve">миссия </w:t>
      </w:r>
      <w:r w:rsidRPr="00280264">
        <w:rPr>
          <w:color w:val="000000" w:themeColor="text1"/>
        </w:rPr>
        <w:t xml:space="preserve">карт «Мир» выросла многократно, так, </w:t>
      </w:r>
      <w:r w:rsidR="00925514" w:rsidRPr="00280264">
        <w:rPr>
          <w:color w:val="000000" w:themeColor="text1"/>
        </w:rPr>
        <w:t>к концу 202</w:t>
      </w:r>
      <w:r w:rsidR="00DB2EDE">
        <w:rPr>
          <w:color w:val="000000" w:themeColor="text1"/>
        </w:rPr>
        <w:t>4</w:t>
      </w:r>
      <w:r w:rsidR="00925514" w:rsidRPr="00280264">
        <w:rPr>
          <w:color w:val="000000" w:themeColor="text1"/>
        </w:rPr>
        <w:t xml:space="preserve"> года их количество превысило </w:t>
      </w:r>
      <w:r w:rsidR="00DB2EDE">
        <w:rPr>
          <w:color w:val="000000" w:themeColor="text1"/>
        </w:rPr>
        <w:t>400</w:t>
      </w:r>
      <w:r w:rsidR="007B3984">
        <w:rPr>
          <w:color w:val="000000" w:themeColor="text1"/>
        </w:rPr>
        <w:t xml:space="preserve"> </w:t>
      </w:r>
      <w:r w:rsidR="00925514" w:rsidRPr="00280264">
        <w:rPr>
          <w:color w:val="000000" w:themeColor="text1"/>
        </w:rPr>
        <w:t>миллионов</w:t>
      </w:r>
      <w:r w:rsidRPr="00280264">
        <w:rPr>
          <w:color w:val="000000" w:themeColor="text1"/>
        </w:rPr>
        <w:t>.</w:t>
      </w:r>
      <w:r w:rsidR="007B3984" w:rsidRPr="007B3984">
        <w:rPr>
          <w:color w:val="000000" w:themeColor="text1"/>
        </w:rPr>
        <w:t xml:space="preserve"> </w:t>
      </w:r>
      <w:r w:rsidR="007B3984">
        <w:rPr>
          <w:color w:val="000000" w:themeColor="text1"/>
        </w:rPr>
        <w:t xml:space="preserve">Данные об объеме выпуска карт представлены на рисунке </w:t>
      </w:r>
      <w:r w:rsidR="00555107">
        <w:rPr>
          <w:color w:val="000000" w:themeColor="text1"/>
        </w:rPr>
        <w:t>2</w:t>
      </w:r>
      <w:r w:rsidR="007B3984">
        <w:rPr>
          <w:color w:val="000000" w:themeColor="text1"/>
        </w:rPr>
        <w:t>.</w:t>
      </w:r>
      <w:r w:rsidRPr="00280264">
        <w:rPr>
          <w:color w:val="000000" w:themeColor="text1"/>
        </w:rPr>
        <w:t xml:space="preserve"> </w:t>
      </w:r>
    </w:p>
    <w:p w:rsidR="007B3984" w:rsidRDefault="007B3984" w:rsidP="007B3984">
      <w:pPr>
        <w:pStyle w:val="a7"/>
        <w:spacing w:before="0" w:beforeAutospacing="0" w:after="0" w:afterAutospacing="0"/>
        <w:ind w:firstLine="709"/>
        <w:contextualSpacing/>
        <w:jc w:val="center"/>
        <w:rPr>
          <w:color w:val="000000" w:themeColor="text1"/>
        </w:rPr>
      </w:pPr>
      <w:r>
        <w:rPr>
          <w:noProof/>
        </w:rPr>
        <w:drawing>
          <wp:inline distT="0" distB="0" distL="0" distR="0" wp14:anchorId="0202C0CD" wp14:editId="45C511D8">
            <wp:extent cx="5250180" cy="2095500"/>
            <wp:effectExtent l="0" t="0" r="762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7B3984" w:rsidRPr="00DF6E66" w:rsidRDefault="007B3984" w:rsidP="007B3984">
      <w:pPr>
        <w:spacing w:after="0" w:line="240" w:lineRule="auto"/>
        <w:ind w:firstLine="709"/>
        <w:jc w:val="center"/>
        <w:rPr>
          <w:rStyle w:val="a5"/>
          <w:sz w:val="24"/>
          <w:szCs w:val="24"/>
        </w:rPr>
      </w:pPr>
      <w:r w:rsidRPr="00DF6E66">
        <w:rPr>
          <w:rStyle w:val="a5"/>
          <w:sz w:val="24"/>
          <w:szCs w:val="24"/>
        </w:rPr>
        <w:t xml:space="preserve">Рисунок </w:t>
      </w:r>
      <w:r w:rsidR="00555107">
        <w:rPr>
          <w:rStyle w:val="a5"/>
          <w:sz w:val="24"/>
          <w:szCs w:val="24"/>
        </w:rPr>
        <w:t>2</w:t>
      </w:r>
      <w:r w:rsidRPr="00DF6E66">
        <w:rPr>
          <w:rStyle w:val="a5"/>
          <w:sz w:val="24"/>
          <w:szCs w:val="24"/>
        </w:rPr>
        <w:t xml:space="preserve"> – </w:t>
      </w:r>
      <w:r w:rsidRPr="007B3984">
        <w:rPr>
          <w:rStyle w:val="a5"/>
          <w:sz w:val="24"/>
          <w:szCs w:val="24"/>
        </w:rPr>
        <w:t>Доля платежных карт «Мир» по объему</w:t>
      </w:r>
    </w:p>
    <w:p w:rsidR="007B3984" w:rsidRPr="00DF6E66" w:rsidRDefault="007B3984" w:rsidP="007B3984">
      <w:pPr>
        <w:spacing w:after="120" w:line="240" w:lineRule="auto"/>
        <w:ind w:firstLine="709"/>
        <w:jc w:val="center"/>
        <w:rPr>
          <w:rStyle w:val="a5"/>
          <w:sz w:val="24"/>
          <w:szCs w:val="24"/>
        </w:rPr>
      </w:pPr>
      <w:r w:rsidRPr="007B3984">
        <w:rPr>
          <w:rStyle w:val="a5"/>
          <w:sz w:val="24"/>
          <w:szCs w:val="24"/>
        </w:rPr>
        <w:t>операций и количеству выданных карт</w:t>
      </w:r>
    </w:p>
    <w:p w:rsidR="00925514" w:rsidRPr="00280264" w:rsidRDefault="006D44D0" w:rsidP="00280264">
      <w:pPr>
        <w:pStyle w:val="a7"/>
        <w:spacing w:before="0" w:beforeAutospacing="0" w:after="0" w:afterAutospacing="0"/>
        <w:ind w:firstLine="709"/>
        <w:contextualSpacing/>
        <w:jc w:val="both"/>
        <w:rPr>
          <w:color w:val="000000" w:themeColor="text1"/>
        </w:rPr>
      </w:pPr>
      <w:r w:rsidRPr="00280264">
        <w:rPr>
          <w:color w:val="000000" w:themeColor="text1"/>
        </w:rPr>
        <w:lastRenderedPageBreak/>
        <w:t xml:space="preserve">Платежная система полностью охватила банковский сектор, её используют для зачисления зарплат, пенсий, пособий, студенческих стипендий и прочих нужд.  На сегодняшний день, </w:t>
      </w:r>
      <w:r w:rsidR="00925514" w:rsidRPr="00280264">
        <w:rPr>
          <w:color w:val="000000" w:themeColor="text1"/>
        </w:rPr>
        <w:t>«Мир» интегрирова</w:t>
      </w:r>
      <w:r w:rsidRPr="00280264">
        <w:rPr>
          <w:color w:val="000000" w:themeColor="text1"/>
        </w:rPr>
        <w:t>на</w:t>
      </w:r>
      <w:r w:rsidR="00925514" w:rsidRPr="00280264">
        <w:rPr>
          <w:color w:val="000000" w:themeColor="text1"/>
        </w:rPr>
        <w:t xml:space="preserve"> во внутренние экосистемы </w:t>
      </w:r>
      <w:r w:rsidRPr="00280264">
        <w:rPr>
          <w:color w:val="000000" w:themeColor="text1"/>
        </w:rPr>
        <w:t xml:space="preserve">всех российских Банков. Вместе с тем, платежная система </w:t>
      </w:r>
      <w:r w:rsidR="00925514" w:rsidRPr="00280264">
        <w:rPr>
          <w:color w:val="000000" w:themeColor="text1"/>
        </w:rPr>
        <w:t xml:space="preserve"> поддерживается всеми основными POS-терминалами и </w:t>
      </w:r>
      <w:r w:rsidRPr="00280264">
        <w:rPr>
          <w:color w:val="000000" w:themeColor="text1"/>
        </w:rPr>
        <w:t xml:space="preserve">сервисами интернет-эквайринга, которые подразумевают возможность проведения платежей онлайн. </w:t>
      </w:r>
      <w:r w:rsidR="00925514" w:rsidRPr="00280264">
        <w:rPr>
          <w:color w:val="000000" w:themeColor="text1"/>
        </w:rPr>
        <w:t xml:space="preserve">Функциональность карт </w:t>
      </w:r>
      <w:r w:rsidRPr="00280264">
        <w:rPr>
          <w:color w:val="000000" w:themeColor="text1"/>
        </w:rPr>
        <w:t>и платежной системы постоянно</w:t>
      </w:r>
      <w:r w:rsidR="00925514" w:rsidRPr="00280264">
        <w:rPr>
          <w:color w:val="000000" w:themeColor="text1"/>
        </w:rPr>
        <w:t xml:space="preserve"> расширяется</w:t>
      </w:r>
      <w:r w:rsidRPr="00280264">
        <w:rPr>
          <w:color w:val="000000" w:themeColor="text1"/>
        </w:rPr>
        <w:t xml:space="preserve">. </w:t>
      </w:r>
      <w:r w:rsidR="004776CC" w:rsidRPr="00280264">
        <w:rPr>
          <w:color w:val="000000" w:themeColor="text1"/>
        </w:rPr>
        <w:t>Д</w:t>
      </w:r>
      <w:r w:rsidRPr="00280264">
        <w:rPr>
          <w:color w:val="000000" w:themeColor="text1"/>
        </w:rPr>
        <w:t>ержателям карт</w:t>
      </w:r>
      <w:r w:rsidR="00925514" w:rsidRPr="00280264">
        <w:rPr>
          <w:color w:val="000000" w:themeColor="text1"/>
        </w:rPr>
        <w:t xml:space="preserve"> доступны бесконтактные платежи, переводы по номеру телефона, </w:t>
      </w:r>
      <w:proofErr w:type="spellStart"/>
      <w:r w:rsidR="00925514" w:rsidRPr="00280264">
        <w:rPr>
          <w:color w:val="000000" w:themeColor="text1"/>
        </w:rPr>
        <w:t>кэшбэк</w:t>
      </w:r>
      <w:proofErr w:type="spellEnd"/>
      <w:r w:rsidR="00925514" w:rsidRPr="00280264">
        <w:rPr>
          <w:color w:val="000000" w:themeColor="text1"/>
        </w:rPr>
        <w:t xml:space="preserve">-программы и защита от мошенничества. </w:t>
      </w:r>
      <w:r w:rsidR="004776CC" w:rsidRPr="00280264">
        <w:rPr>
          <w:color w:val="000000" w:themeColor="text1"/>
        </w:rPr>
        <w:t>Система</w:t>
      </w:r>
      <w:r w:rsidR="00925514" w:rsidRPr="00280264">
        <w:rPr>
          <w:color w:val="000000" w:themeColor="text1"/>
        </w:rPr>
        <w:t xml:space="preserve"> «Мир» ориентирована на цифровые </w:t>
      </w:r>
      <w:r w:rsidR="004776CC" w:rsidRPr="00280264">
        <w:rPr>
          <w:color w:val="000000" w:themeColor="text1"/>
        </w:rPr>
        <w:t>технологии</w:t>
      </w:r>
      <w:r w:rsidR="00925514" w:rsidRPr="00280264">
        <w:rPr>
          <w:color w:val="000000" w:themeColor="text1"/>
        </w:rPr>
        <w:t xml:space="preserve"> и высокую степень </w:t>
      </w:r>
      <w:r w:rsidR="004776CC" w:rsidRPr="00280264">
        <w:rPr>
          <w:color w:val="000000" w:themeColor="text1"/>
        </w:rPr>
        <w:t>адаптации</w:t>
      </w:r>
      <w:r w:rsidR="00925514" w:rsidRPr="00280264">
        <w:rPr>
          <w:color w:val="000000" w:themeColor="text1"/>
        </w:rPr>
        <w:t xml:space="preserve"> под клиента</w:t>
      </w:r>
      <w:r w:rsidR="00C33752" w:rsidRPr="00C33752">
        <w:rPr>
          <w:color w:val="000000" w:themeColor="text1"/>
        </w:rPr>
        <w:t xml:space="preserve"> [11]</w:t>
      </w:r>
      <w:r w:rsidR="00925514" w:rsidRPr="00280264">
        <w:rPr>
          <w:color w:val="000000" w:themeColor="text1"/>
        </w:rPr>
        <w:t>.</w:t>
      </w:r>
    </w:p>
    <w:p w:rsidR="00C26EC7" w:rsidRPr="00280264" w:rsidRDefault="00925514"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Тем не менее, за пределами России приём карты «Мир» ограничен. </w:t>
      </w:r>
      <w:r w:rsidR="005D35BE" w:rsidRPr="00280264">
        <w:rPr>
          <w:color w:val="000000" w:themeColor="text1"/>
        </w:rPr>
        <w:t>В условиях международного давления и вторичных санкций</w:t>
      </w:r>
      <w:r w:rsidR="00C26EC7" w:rsidRPr="00280264">
        <w:rPr>
          <w:color w:val="000000" w:themeColor="text1"/>
        </w:rPr>
        <w:t>,</w:t>
      </w:r>
      <w:r w:rsidR="005D35BE" w:rsidRPr="00280264">
        <w:rPr>
          <w:color w:val="000000" w:themeColor="text1"/>
        </w:rPr>
        <w:t xml:space="preserve"> сотрудничество по продвижению платежной системы «Мир» сталкивается с определёнными трудностями. Интеграция происходит точечно, преимущественно </w:t>
      </w:r>
      <w:r w:rsidRPr="00280264">
        <w:rPr>
          <w:color w:val="000000" w:themeColor="text1"/>
        </w:rPr>
        <w:t xml:space="preserve">в </w:t>
      </w:r>
      <w:r w:rsidR="005D35BE" w:rsidRPr="00280264">
        <w:rPr>
          <w:color w:val="000000" w:themeColor="text1"/>
        </w:rPr>
        <w:t>рамках двусторонних соглашений. Банки Турции, Армении, Узбекистана, Вьетнама</w:t>
      </w:r>
      <w:r w:rsidR="00C26EC7" w:rsidRPr="00280264">
        <w:rPr>
          <w:color w:val="000000" w:themeColor="text1"/>
        </w:rPr>
        <w:t xml:space="preserve"> </w:t>
      </w:r>
      <w:r w:rsidR="005D35BE" w:rsidRPr="00280264">
        <w:rPr>
          <w:color w:val="000000" w:themeColor="text1"/>
        </w:rPr>
        <w:t xml:space="preserve">некоторое время проводили транзакции, однако со временем были вынуждены их приостановить. </w:t>
      </w:r>
      <w:r w:rsidR="00C26EC7" w:rsidRPr="00280264">
        <w:rPr>
          <w:color w:val="000000" w:themeColor="text1"/>
        </w:rPr>
        <w:t xml:space="preserve">По этой причине использование «Мир» за границей в качестве универсального платежного инструмента – не представляется возможным. </w:t>
      </w:r>
    </w:p>
    <w:p w:rsidR="00B10ED2" w:rsidRDefault="00C26EC7"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В сотрудничестве с Национальной системой платежных карт Банком России была запущена Система Быстрых Платежей (СБП). </w:t>
      </w:r>
      <w:r w:rsidR="00C615B3" w:rsidRPr="00280264">
        <w:rPr>
          <w:color w:val="000000" w:themeColor="text1"/>
        </w:rPr>
        <w:t xml:space="preserve">На сегодняшний день данная система интегрирована </w:t>
      </w:r>
      <w:r w:rsidR="007C3642" w:rsidRPr="00280264">
        <w:rPr>
          <w:color w:val="000000" w:themeColor="text1"/>
        </w:rPr>
        <w:t>более чем в 300 кредитных организаций</w:t>
      </w:r>
      <w:r w:rsidR="00C615B3" w:rsidRPr="00280264">
        <w:rPr>
          <w:color w:val="000000" w:themeColor="text1"/>
        </w:rPr>
        <w:t xml:space="preserve">, позволяет клиентам совершать </w:t>
      </w:r>
      <w:r w:rsidR="00925514" w:rsidRPr="00280264">
        <w:rPr>
          <w:color w:val="000000" w:themeColor="text1"/>
        </w:rPr>
        <w:t>мгновенные переводы между счетами физических лиц по номеру телефона вн</w:t>
      </w:r>
      <w:r w:rsidR="00C615B3" w:rsidRPr="00280264">
        <w:rPr>
          <w:color w:val="000000" w:themeColor="text1"/>
        </w:rPr>
        <w:t>е зависимости от того, в каком Б</w:t>
      </w:r>
      <w:r w:rsidR="00925514" w:rsidRPr="00280264">
        <w:rPr>
          <w:color w:val="000000" w:themeColor="text1"/>
        </w:rPr>
        <w:t>анке открыт счёт</w:t>
      </w:r>
      <w:r w:rsidR="00C33752" w:rsidRPr="00C33752">
        <w:rPr>
          <w:color w:val="000000" w:themeColor="text1"/>
        </w:rPr>
        <w:t xml:space="preserve"> [12]</w:t>
      </w:r>
      <w:r w:rsidR="00925514" w:rsidRPr="00280264">
        <w:rPr>
          <w:color w:val="000000" w:themeColor="text1"/>
        </w:rPr>
        <w:t xml:space="preserve">. </w:t>
      </w:r>
      <w:r w:rsidR="00C615B3" w:rsidRPr="00280264">
        <w:rPr>
          <w:color w:val="000000" w:themeColor="text1"/>
        </w:rPr>
        <w:t>СБП</w:t>
      </w:r>
      <w:r w:rsidR="00925514" w:rsidRPr="00280264">
        <w:rPr>
          <w:color w:val="000000" w:themeColor="text1"/>
        </w:rPr>
        <w:t xml:space="preserve"> работает круглосуточно, включая выходные и праздничные дни, и не требует ввода банковских реквизитов, что делает её максимально доступной.</w:t>
      </w:r>
      <w:r w:rsidR="00C615B3" w:rsidRPr="00280264">
        <w:rPr>
          <w:color w:val="000000" w:themeColor="text1"/>
        </w:rPr>
        <w:t xml:space="preserve"> </w:t>
      </w:r>
      <w:r w:rsidR="007C3642" w:rsidRPr="00280264">
        <w:rPr>
          <w:color w:val="000000" w:themeColor="text1"/>
        </w:rPr>
        <w:t>На 2024 год о</w:t>
      </w:r>
      <w:r w:rsidR="00925514" w:rsidRPr="00280264">
        <w:rPr>
          <w:color w:val="000000" w:themeColor="text1"/>
        </w:rPr>
        <w:t xml:space="preserve">бороты в системе исчисляются триллионами рублей, а количество операций продолжает расти. </w:t>
      </w:r>
      <w:r w:rsidR="00B10ED2">
        <w:rPr>
          <w:color w:val="000000" w:themeColor="text1"/>
        </w:rPr>
        <w:t xml:space="preserve">Обращаясь к данным </w:t>
      </w:r>
      <w:proofErr w:type="gramStart"/>
      <w:r w:rsidR="00B10ED2">
        <w:rPr>
          <w:color w:val="000000" w:themeColor="text1"/>
        </w:rPr>
        <w:t>ЦБ РФ</w:t>
      </w:r>
      <w:proofErr w:type="gramEnd"/>
      <w:r w:rsidR="003523EE">
        <w:rPr>
          <w:color w:val="000000" w:themeColor="text1"/>
        </w:rPr>
        <w:t xml:space="preserve"> представленным на рисунке </w:t>
      </w:r>
      <w:r w:rsidR="00555107">
        <w:rPr>
          <w:color w:val="000000" w:themeColor="text1"/>
        </w:rPr>
        <w:t>3</w:t>
      </w:r>
      <w:r w:rsidR="00B10ED2">
        <w:rPr>
          <w:color w:val="000000" w:themeColor="text1"/>
        </w:rPr>
        <w:t>, можно увидеть</w:t>
      </w:r>
      <w:r w:rsidR="003523EE">
        <w:rPr>
          <w:color w:val="000000" w:themeColor="text1"/>
        </w:rPr>
        <w:t xml:space="preserve">, что количество безналичных платежей год к году увеличивается. </w:t>
      </w:r>
    </w:p>
    <w:p w:rsidR="003523EE" w:rsidRDefault="003523EE" w:rsidP="00A94A75">
      <w:pPr>
        <w:pStyle w:val="a7"/>
        <w:spacing w:before="0" w:beforeAutospacing="0" w:after="0" w:afterAutospacing="0"/>
        <w:ind w:firstLine="709"/>
        <w:contextualSpacing/>
        <w:jc w:val="center"/>
        <w:rPr>
          <w:color w:val="000000" w:themeColor="text1"/>
        </w:rPr>
      </w:pPr>
      <w:r>
        <w:rPr>
          <w:noProof/>
        </w:rPr>
        <w:drawing>
          <wp:inline distT="0" distB="0" distL="0" distR="0" wp14:anchorId="03B49873" wp14:editId="095FF237">
            <wp:extent cx="5372100" cy="19812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3523EE" w:rsidRPr="00DF6E66" w:rsidRDefault="003523EE" w:rsidP="003523EE">
      <w:pPr>
        <w:spacing w:after="0" w:line="240" w:lineRule="auto"/>
        <w:ind w:firstLine="709"/>
        <w:jc w:val="center"/>
        <w:rPr>
          <w:rStyle w:val="a5"/>
          <w:sz w:val="24"/>
          <w:szCs w:val="24"/>
        </w:rPr>
      </w:pPr>
      <w:r w:rsidRPr="00DF6E66">
        <w:rPr>
          <w:rStyle w:val="a5"/>
          <w:sz w:val="24"/>
          <w:szCs w:val="24"/>
        </w:rPr>
        <w:t xml:space="preserve">Рисунок </w:t>
      </w:r>
      <w:r w:rsidR="00555107">
        <w:rPr>
          <w:rStyle w:val="a5"/>
          <w:sz w:val="24"/>
          <w:szCs w:val="24"/>
        </w:rPr>
        <w:t>3</w:t>
      </w:r>
      <w:r w:rsidRPr="00DF6E66">
        <w:rPr>
          <w:rStyle w:val="a5"/>
          <w:sz w:val="24"/>
          <w:szCs w:val="24"/>
        </w:rPr>
        <w:t xml:space="preserve"> – </w:t>
      </w:r>
      <w:r w:rsidRPr="007B3984">
        <w:rPr>
          <w:rStyle w:val="a5"/>
          <w:sz w:val="24"/>
          <w:szCs w:val="24"/>
        </w:rPr>
        <w:t xml:space="preserve">Доля </w:t>
      </w:r>
      <w:r>
        <w:rPr>
          <w:rStyle w:val="a5"/>
          <w:sz w:val="24"/>
          <w:szCs w:val="24"/>
        </w:rPr>
        <w:t>безналичных платежей</w:t>
      </w:r>
      <w:r w:rsidRPr="007B3984">
        <w:rPr>
          <w:rStyle w:val="a5"/>
          <w:sz w:val="24"/>
          <w:szCs w:val="24"/>
        </w:rPr>
        <w:t xml:space="preserve"> по объему</w:t>
      </w:r>
    </w:p>
    <w:p w:rsidR="003523EE" w:rsidRPr="00DF6E66" w:rsidRDefault="003523EE" w:rsidP="003523EE">
      <w:pPr>
        <w:spacing w:after="120" w:line="240" w:lineRule="auto"/>
        <w:ind w:firstLine="709"/>
        <w:jc w:val="center"/>
        <w:rPr>
          <w:rStyle w:val="a5"/>
          <w:sz w:val="24"/>
          <w:szCs w:val="24"/>
        </w:rPr>
      </w:pPr>
      <w:r w:rsidRPr="007B3984">
        <w:rPr>
          <w:rStyle w:val="a5"/>
          <w:sz w:val="24"/>
          <w:szCs w:val="24"/>
        </w:rPr>
        <w:t xml:space="preserve">операций </w:t>
      </w:r>
      <w:r>
        <w:rPr>
          <w:rStyle w:val="a5"/>
          <w:sz w:val="24"/>
          <w:szCs w:val="24"/>
        </w:rPr>
        <w:t>за 2021-2024 гг.</w:t>
      </w:r>
    </w:p>
    <w:p w:rsidR="00E727F8" w:rsidRDefault="00925514"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Кроме переводов между </w:t>
      </w:r>
      <w:r w:rsidR="007C3642" w:rsidRPr="00280264">
        <w:rPr>
          <w:color w:val="000000" w:themeColor="text1"/>
        </w:rPr>
        <w:t>физическими лицами</w:t>
      </w:r>
      <w:r w:rsidRPr="00280264">
        <w:rPr>
          <w:color w:val="000000" w:themeColor="text1"/>
        </w:rPr>
        <w:t xml:space="preserve">, внедрены функции оплаты по QR-кодам в </w:t>
      </w:r>
      <w:r w:rsidR="007C3642" w:rsidRPr="00280264">
        <w:rPr>
          <w:color w:val="000000" w:themeColor="text1"/>
        </w:rPr>
        <w:t>магазинах</w:t>
      </w:r>
      <w:r w:rsidRPr="00280264">
        <w:rPr>
          <w:color w:val="000000" w:themeColor="text1"/>
        </w:rPr>
        <w:t xml:space="preserve">, переводы в </w:t>
      </w:r>
      <w:r w:rsidR="007C3642" w:rsidRPr="00280264">
        <w:rPr>
          <w:color w:val="000000" w:themeColor="text1"/>
        </w:rPr>
        <w:t xml:space="preserve">бюджет, а также возможно </w:t>
      </w:r>
      <w:r w:rsidRPr="00280264">
        <w:rPr>
          <w:color w:val="000000" w:themeColor="text1"/>
        </w:rPr>
        <w:t xml:space="preserve">использование </w:t>
      </w:r>
      <w:r w:rsidR="00AB45D7" w:rsidRPr="00280264">
        <w:rPr>
          <w:color w:val="000000" w:themeColor="text1"/>
        </w:rPr>
        <w:t xml:space="preserve">в онлайн-магазинах. </w:t>
      </w:r>
      <w:r w:rsidR="00E727F8" w:rsidRPr="00280264">
        <w:rPr>
          <w:color w:val="000000" w:themeColor="text1"/>
        </w:rPr>
        <w:t>В условиях санкционного давления потенциал данной системы начинает использоваться для автоматизации расчётов между бизнесом и государством, муниципальными учреждениями, системами здравоохранения и образования. Подключение школ, поликлиник, МФЦ и других учреждений к QR-платежам позволило повысить прозрачность операций и упростить администрирование финансовых потоков</w:t>
      </w:r>
      <w:r w:rsidR="00C33752" w:rsidRPr="00C33752">
        <w:rPr>
          <w:color w:val="000000" w:themeColor="text1"/>
        </w:rPr>
        <w:t xml:space="preserve"> [13]</w:t>
      </w:r>
      <w:r w:rsidR="00E727F8" w:rsidRPr="00280264">
        <w:rPr>
          <w:color w:val="000000" w:themeColor="text1"/>
        </w:rPr>
        <w:t>. Это особенно ценно для удалённых регионов, где традиционная банковская инфраструктура ограничена.</w:t>
      </w:r>
      <w:r w:rsidR="00A94A75">
        <w:rPr>
          <w:color w:val="000000" w:themeColor="text1"/>
        </w:rPr>
        <w:t xml:space="preserve"> Объем переводов между физическими лицами, а также покупок, которые клиенты осуществляют по СБП с использованием </w:t>
      </w:r>
      <w:r w:rsidR="00A94A75">
        <w:rPr>
          <w:color w:val="000000" w:themeColor="text1"/>
          <w:lang w:val="en-US"/>
        </w:rPr>
        <w:t>QR</w:t>
      </w:r>
      <w:r w:rsidR="00A94A75">
        <w:rPr>
          <w:color w:val="000000" w:themeColor="text1"/>
        </w:rPr>
        <w:t xml:space="preserve">-оплаты – отражены на рисунке </w:t>
      </w:r>
      <w:r w:rsidR="00555107">
        <w:rPr>
          <w:color w:val="000000" w:themeColor="text1"/>
        </w:rPr>
        <w:t>4</w:t>
      </w:r>
      <w:r w:rsidR="00A94A75">
        <w:rPr>
          <w:color w:val="000000" w:themeColor="text1"/>
        </w:rPr>
        <w:t>.</w:t>
      </w:r>
    </w:p>
    <w:p w:rsidR="00A94A75" w:rsidRPr="00A94A75" w:rsidRDefault="00A94A75" w:rsidP="00A94A75">
      <w:pPr>
        <w:pStyle w:val="a7"/>
        <w:spacing w:before="0" w:beforeAutospacing="0" w:after="0" w:afterAutospacing="0"/>
        <w:ind w:firstLine="709"/>
        <w:contextualSpacing/>
        <w:jc w:val="center"/>
        <w:rPr>
          <w:color w:val="000000" w:themeColor="text1"/>
        </w:rPr>
      </w:pPr>
      <w:r>
        <w:rPr>
          <w:noProof/>
        </w:rPr>
        <w:lastRenderedPageBreak/>
        <w:drawing>
          <wp:inline distT="0" distB="0" distL="0" distR="0" wp14:anchorId="0C3F7DBC" wp14:editId="49680F4D">
            <wp:extent cx="5151120" cy="1988820"/>
            <wp:effectExtent l="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94A75" w:rsidRPr="00DF6E66" w:rsidRDefault="00A94A75" w:rsidP="00A94A75">
      <w:pPr>
        <w:spacing w:after="0" w:line="240" w:lineRule="auto"/>
        <w:ind w:firstLine="709"/>
        <w:jc w:val="center"/>
        <w:rPr>
          <w:rStyle w:val="a5"/>
          <w:sz w:val="24"/>
          <w:szCs w:val="24"/>
        </w:rPr>
      </w:pPr>
      <w:r w:rsidRPr="00DF6E66">
        <w:rPr>
          <w:rStyle w:val="a5"/>
          <w:sz w:val="24"/>
          <w:szCs w:val="24"/>
        </w:rPr>
        <w:t xml:space="preserve">Рисунок </w:t>
      </w:r>
      <w:r w:rsidR="00555107">
        <w:rPr>
          <w:rStyle w:val="a5"/>
          <w:sz w:val="24"/>
          <w:szCs w:val="24"/>
        </w:rPr>
        <w:t>4</w:t>
      </w:r>
      <w:r w:rsidRPr="00DF6E66">
        <w:rPr>
          <w:rStyle w:val="a5"/>
          <w:sz w:val="24"/>
          <w:szCs w:val="24"/>
        </w:rPr>
        <w:t xml:space="preserve"> – </w:t>
      </w:r>
      <w:r w:rsidRPr="007B3984">
        <w:rPr>
          <w:rStyle w:val="a5"/>
          <w:sz w:val="24"/>
          <w:szCs w:val="24"/>
        </w:rPr>
        <w:t xml:space="preserve">Доля </w:t>
      </w:r>
      <w:r>
        <w:rPr>
          <w:rStyle w:val="a5"/>
          <w:sz w:val="24"/>
          <w:szCs w:val="24"/>
        </w:rPr>
        <w:t>платежей с использованием</w:t>
      </w:r>
    </w:p>
    <w:p w:rsidR="00A94A75" w:rsidRPr="00DF6E66" w:rsidRDefault="00A94A75" w:rsidP="00A94A75">
      <w:pPr>
        <w:spacing w:after="120" w:line="240" w:lineRule="auto"/>
        <w:ind w:firstLine="709"/>
        <w:jc w:val="center"/>
        <w:rPr>
          <w:rStyle w:val="a5"/>
          <w:sz w:val="24"/>
          <w:szCs w:val="24"/>
        </w:rPr>
      </w:pPr>
      <w:r>
        <w:rPr>
          <w:rStyle w:val="a5"/>
          <w:sz w:val="24"/>
          <w:szCs w:val="24"/>
        </w:rPr>
        <w:t>Системы Быстрых Платежей 2021-2024 гг.</w:t>
      </w:r>
    </w:p>
    <w:p w:rsidR="00925514" w:rsidRDefault="007C3642" w:rsidP="00280264">
      <w:pPr>
        <w:pStyle w:val="a7"/>
        <w:spacing w:before="0" w:beforeAutospacing="0" w:after="0" w:afterAutospacing="0"/>
        <w:ind w:firstLine="709"/>
        <w:contextualSpacing/>
        <w:jc w:val="both"/>
        <w:rPr>
          <w:color w:val="000000" w:themeColor="text1"/>
        </w:rPr>
      </w:pPr>
      <w:r w:rsidRPr="00280264">
        <w:rPr>
          <w:color w:val="000000" w:themeColor="text1"/>
        </w:rPr>
        <w:t>СБП пользуется популярностью в сегменте корпоративных клиентов. Юридические лица используют данный инструмент с целью моментального зачисления денежных средств на расчетный счет и мин</w:t>
      </w:r>
      <w:r w:rsidR="00C9550D" w:rsidRPr="00280264">
        <w:rPr>
          <w:color w:val="000000" w:themeColor="text1"/>
        </w:rPr>
        <w:t xml:space="preserve">имизации комиссии на эквайринг. Благодаря внедрению СБП, клиенты малого, среднего бизнеса используют </w:t>
      </w:r>
      <w:r w:rsidR="00925514" w:rsidRPr="00280264">
        <w:rPr>
          <w:color w:val="000000" w:themeColor="text1"/>
        </w:rPr>
        <w:t>эффективный и недорогой канал для приёма безналичной оплаты</w:t>
      </w:r>
      <w:r w:rsidR="00C9550D" w:rsidRPr="00280264">
        <w:rPr>
          <w:color w:val="000000" w:themeColor="text1"/>
        </w:rPr>
        <w:t xml:space="preserve">. </w:t>
      </w:r>
      <w:r w:rsidR="00925514" w:rsidRPr="00280264">
        <w:rPr>
          <w:color w:val="000000" w:themeColor="text1"/>
        </w:rPr>
        <w:t xml:space="preserve"> Комиссии за операции через </w:t>
      </w:r>
      <w:r w:rsidR="00C9550D" w:rsidRPr="00280264">
        <w:rPr>
          <w:color w:val="000000" w:themeColor="text1"/>
        </w:rPr>
        <w:t>данную систему</w:t>
      </w:r>
      <w:r w:rsidR="00925514" w:rsidRPr="00280264">
        <w:rPr>
          <w:color w:val="000000" w:themeColor="text1"/>
        </w:rPr>
        <w:t xml:space="preserve"> значительно ниже, чем по картам, что стимулирует предпринимателей подключаться к системе</w:t>
      </w:r>
      <w:r w:rsidR="00C9550D" w:rsidRPr="00280264">
        <w:rPr>
          <w:color w:val="000000" w:themeColor="text1"/>
        </w:rPr>
        <w:t xml:space="preserve"> и ориентировать клиентов на оплату по </w:t>
      </w:r>
      <w:r w:rsidR="00C9550D" w:rsidRPr="00280264">
        <w:rPr>
          <w:color w:val="000000" w:themeColor="text1"/>
          <w:lang w:val="en-US"/>
        </w:rPr>
        <w:t>QR</w:t>
      </w:r>
      <w:r w:rsidR="00C9550D" w:rsidRPr="00280264">
        <w:rPr>
          <w:color w:val="000000" w:themeColor="text1"/>
        </w:rPr>
        <w:t xml:space="preserve">-коду. Интеграция </w:t>
      </w:r>
      <w:r w:rsidR="00925514" w:rsidRPr="00280264">
        <w:rPr>
          <w:color w:val="000000" w:themeColor="text1"/>
        </w:rPr>
        <w:t xml:space="preserve"> </w:t>
      </w:r>
      <w:r w:rsidR="00C9550D" w:rsidRPr="00280264">
        <w:rPr>
          <w:color w:val="000000" w:themeColor="text1"/>
        </w:rPr>
        <w:t xml:space="preserve">СБП </w:t>
      </w:r>
      <w:r w:rsidR="00925514" w:rsidRPr="00280264">
        <w:rPr>
          <w:color w:val="000000" w:themeColor="text1"/>
        </w:rPr>
        <w:t xml:space="preserve">в банковские приложения делает её использование интуитивно понятным, а функционал гибким и адаптируемым под </w:t>
      </w:r>
      <w:r w:rsidR="00C9550D" w:rsidRPr="00280264">
        <w:rPr>
          <w:color w:val="000000" w:themeColor="text1"/>
        </w:rPr>
        <w:t xml:space="preserve">потребности для </w:t>
      </w:r>
      <w:r w:rsidR="00925514" w:rsidRPr="00280264">
        <w:rPr>
          <w:color w:val="000000" w:themeColor="text1"/>
        </w:rPr>
        <w:t>разных отраслей</w:t>
      </w:r>
      <w:r w:rsidR="00C33752" w:rsidRPr="00C33752">
        <w:rPr>
          <w:color w:val="000000" w:themeColor="text1"/>
        </w:rPr>
        <w:t xml:space="preserve"> [14]</w:t>
      </w:r>
      <w:r w:rsidR="00925514" w:rsidRPr="00280264">
        <w:rPr>
          <w:color w:val="000000" w:themeColor="text1"/>
        </w:rPr>
        <w:t>.</w:t>
      </w:r>
      <w:r w:rsidR="00B42ECC">
        <w:rPr>
          <w:color w:val="000000" w:themeColor="text1"/>
        </w:rPr>
        <w:t xml:space="preserve"> На рисунке </w:t>
      </w:r>
      <w:r w:rsidR="00555107">
        <w:rPr>
          <w:color w:val="000000" w:themeColor="text1"/>
        </w:rPr>
        <w:t>5</w:t>
      </w:r>
      <w:r w:rsidR="00B42ECC">
        <w:rPr>
          <w:color w:val="000000" w:themeColor="text1"/>
        </w:rPr>
        <w:t xml:space="preserve"> видно, что с 2021 года количество корпоративных клиентов, использующих Систему Быстрых Платежей, увеличилось в 1,5 раза. </w:t>
      </w:r>
    </w:p>
    <w:p w:rsidR="0075468E" w:rsidRPr="00280264" w:rsidRDefault="00B42ECC" w:rsidP="00B42ECC">
      <w:pPr>
        <w:pStyle w:val="a7"/>
        <w:spacing w:before="0" w:beforeAutospacing="0" w:after="0" w:afterAutospacing="0"/>
        <w:ind w:firstLine="709"/>
        <w:contextualSpacing/>
        <w:jc w:val="center"/>
        <w:rPr>
          <w:color w:val="000000" w:themeColor="text1"/>
        </w:rPr>
      </w:pPr>
      <w:r>
        <w:rPr>
          <w:noProof/>
        </w:rPr>
        <w:drawing>
          <wp:inline distT="0" distB="0" distL="0" distR="0" wp14:anchorId="79C9F971" wp14:editId="6AD6D7FA">
            <wp:extent cx="4815840" cy="1638300"/>
            <wp:effectExtent l="0" t="0" r="381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42ECC" w:rsidRPr="00DF6E66" w:rsidRDefault="00B42ECC" w:rsidP="00B42ECC">
      <w:pPr>
        <w:spacing w:after="0" w:line="240" w:lineRule="auto"/>
        <w:ind w:firstLine="709"/>
        <w:jc w:val="center"/>
        <w:rPr>
          <w:rStyle w:val="a5"/>
          <w:sz w:val="24"/>
          <w:szCs w:val="24"/>
        </w:rPr>
      </w:pPr>
      <w:r w:rsidRPr="00DF6E66">
        <w:rPr>
          <w:rStyle w:val="a5"/>
          <w:sz w:val="24"/>
          <w:szCs w:val="24"/>
        </w:rPr>
        <w:t xml:space="preserve">Рисунок </w:t>
      </w:r>
      <w:r w:rsidR="00555107">
        <w:rPr>
          <w:rStyle w:val="a5"/>
          <w:sz w:val="24"/>
          <w:szCs w:val="24"/>
        </w:rPr>
        <w:t>5</w:t>
      </w:r>
      <w:r w:rsidRPr="00DF6E66">
        <w:rPr>
          <w:rStyle w:val="a5"/>
          <w:sz w:val="24"/>
          <w:szCs w:val="24"/>
        </w:rPr>
        <w:t xml:space="preserve"> – </w:t>
      </w:r>
      <w:r>
        <w:rPr>
          <w:rStyle w:val="a5"/>
          <w:sz w:val="24"/>
          <w:szCs w:val="24"/>
        </w:rPr>
        <w:t>Число предприятий, подключенных</w:t>
      </w:r>
    </w:p>
    <w:p w:rsidR="00B42ECC" w:rsidRPr="00B42ECC" w:rsidRDefault="00B42ECC" w:rsidP="00B42ECC">
      <w:pPr>
        <w:spacing w:after="120" w:line="240" w:lineRule="auto"/>
        <w:ind w:firstLine="709"/>
        <w:jc w:val="center"/>
        <w:rPr>
          <w:rStyle w:val="a5"/>
          <w:sz w:val="24"/>
          <w:szCs w:val="24"/>
        </w:rPr>
      </w:pPr>
      <w:r w:rsidRPr="00B42ECC">
        <w:rPr>
          <w:rStyle w:val="a5"/>
          <w:sz w:val="24"/>
          <w:szCs w:val="24"/>
        </w:rPr>
        <w:t>к СБП</w:t>
      </w:r>
      <w:r>
        <w:rPr>
          <w:rStyle w:val="a5"/>
          <w:sz w:val="24"/>
          <w:szCs w:val="24"/>
        </w:rPr>
        <w:t xml:space="preserve"> 2021-2024 гг.</w:t>
      </w:r>
    </w:p>
    <w:p w:rsidR="00DE1E12" w:rsidRPr="00280264" w:rsidRDefault="00AD229E" w:rsidP="00280264">
      <w:pPr>
        <w:pStyle w:val="a7"/>
        <w:spacing w:before="0" w:beforeAutospacing="0" w:after="0" w:afterAutospacing="0"/>
        <w:ind w:firstLine="709"/>
        <w:contextualSpacing/>
        <w:jc w:val="both"/>
        <w:rPr>
          <w:color w:val="000000" w:themeColor="text1"/>
        </w:rPr>
      </w:pPr>
      <w:r w:rsidRPr="00280264">
        <w:rPr>
          <w:color w:val="000000" w:themeColor="text1"/>
        </w:rPr>
        <w:t>Хочется отметить, что с</w:t>
      </w:r>
      <w:r w:rsidR="00925514" w:rsidRPr="00280264">
        <w:rPr>
          <w:color w:val="000000" w:themeColor="text1"/>
        </w:rPr>
        <w:t xml:space="preserve">ущественным фактором успеха </w:t>
      </w:r>
      <w:r w:rsidRPr="00280264">
        <w:rPr>
          <w:color w:val="000000" w:themeColor="text1"/>
        </w:rPr>
        <w:t>Национальной платежной системы</w:t>
      </w:r>
      <w:r w:rsidR="00925514" w:rsidRPr="00280264">
        <w:rPr>
          <w:color w:val="000000" w:themeColor="text1"/>
        </w:rPr>
        <w:t xml:space="preserve"> стало не только технологическое импортозамещение, </w:t>
      </w:r>
      <w:r w:rsidRPr="00280264">
        <w:rPr>
          <w:color w:val="000000" w:themeColor="text1"/>
        </w:rPr>
        <w:t>а также</w:t>
      </w:r>
      <w:r w:rsidR="00925514" w:rsidRPr="00280264">
        <w:rPr>
          <w:color w:val="000000" w:themeColor="text1"/>
        </w:rPr>
        <w:t xml:space="preserve"> изменение восприятия со стороны </w:t>
      </w:r>
      <w:r w:rsidRPr="00280264">
        <w:rPr>
          <w:color w:val="000000" w:themeColor="text1"/>
        </w:rPr>
        <w:t xml:space="preserve">пользователей. До введения санкций, клиенты не воспринимали платежную систему и относились к ней с осторожностью, используя известные </w:t>
      </w:r>
      <w:r w:rsidRPr="00280264">
        <w:rPr>
          <w:color w:val="000000" w:themeColor="text1"/>
          <w:lang w:val="en-US"/>
        </w:rPr>
        <w:t>Visa</w:t>
      </w:r>
      <w:r w:rsidRPr="00280264">
        <w:rPr>
          <w:color w:val="000000" w:themeColor="text1"/>
        </w:rPr>
        <w:t xml:space="preserve"> и </w:t>
      </w:r>
      <w:r w:rsidRPr="00280264">
        <w:rPr>
          <w:color w:val="000000" w:themeColor="text1"/>
          <w:lang w:val="en-US"/>
        </w:rPr>
        <w:t>MasterCard</w:t>
      </w:r>
      <w:r w:rsidRPr="00280264">
        <w:rPr>
          <w:color w:val="000000" w:themeColor="text1"/>
        </w:rPr>
        <w:t xml:space="preserve">. </w:t>
      </w:r>
      <w:r w:rsidR="00925514" w:rsidRPr="00280264">
        <w:rPr>
          <w:color w:val="000000" w:themeColor="text1"/>
        </w:rPr>
        <w:t xml:space="preserve"> </w:t>
      </w:r>
      <w:r w:rsidRPr="00280264">
        <w:rPr>
          <w:color w:val="000000" w:themeColor="text1"/>
        </w:rPr>
        <w:t>В итоге уход</w:t>
      </w:r>
      <w:r w:rsidR="00925514" w:rsidRPr="00280264">
        <w:rPr>
          <w:color w:val="000000" w:themeColor="text1"/>
        </w:rPr>
        <w:t xml:space="preserve"> западных компаний </w:t>
      </w:r>
      <w:r w:rsidRPr="00280264">
        <w:rPr>
          <w:color w:val="000000" w:themeColor="text1"/>
        </w:rPr>
        <w:t xml:space="preserve">с российского рынка, </w:t>
      </w:r>
      <w:r w:rsidR="00925514" w:rsidRPr="00280264">
        <w:rPr>
          <w:color w:val="000000" w:themeColor="text1"/>
        </w:rPr>
        <w:t xml:space="preserve">создал </w:t>
      </w:r>
      <w:r w:rsidRPr="00280264">
        <w:rPr>
          <w:color w:val="000000" w:themeColor="text1"/>
        </w:rPr>
        <w:t xml:space="preserve">клиентам </w:t>
      </w:r>
      <w:r w:rsidR="00925514" w:rsidRPr="00280264">
        <w:rPr>
          <w:color w:val="000000" w:themeColor="text1"/>
        </w:rPr>
        <w:t>уникальные условия для резкого перехода к внутренним платформам.</w:t>
      </w:r>
      <w:r w:rsidRPr="00280264">
        <w:rPr>
          <w:color w:val="000000" w:themeColor="text1"/>
        </w:rPr>
        <w:t xml:space="preserve">  </w:t>
      </w:r>
      <w:r w:rsidR="009523C3" w:rsidRPr="00280264">
        <w:rPr>
          <w:color w:val="000000" w:themeColor="text1"/>
        </w:rPr>
        <w:t>Сегодня эмитенты</w:t>
      </w:r>
      <w:r w:rsidR="00925514" w:rsidRPr="00280264">
        <w:rPr>
          <w:color w:val="000000" w:themeColor="text1"/>
        </w:rPr>
        <w:t xml:space="preserve"> «Мир» </w:t>
      </w:r>
      <w:r w:rsidR="009523C3" w:rsidRPr="00280264">
        <w:rPr>
          <w:color w:val="000000" w:themeColor="text1"/>
        </w:rPr>
        <w:t xml:space="preserve">предлагают клиентам широкую линейку продуктов, которая включает премиальные карты Мир </w:t>
      </w:r>
      <w:r w:rsidR="009523C3" w:rsidRPr="00280264">
        <w:rPr>
          <w:color w:val="000000" w:themeColor="text1"/>
          <w:lang w:val="en-US"/>
        </w:rPr>
        <w:t>Supreme</w:t>
      </w:r>
      <w:r w:rsidR="009523C3" w:rsidRPr="00280264">
        <w:rPr>
          <w:color w:val="000000" w:themeColor="text1"/>
        </w:rPr>
        <w:t xml:space="preserve">, платежные стикеры, а также бонусные программы и возможности накоплений. </w:t>
      </w:r>
      <w:r w:rsidR="00DE1E12" w:rsidRPr="00280264">
        <w:rPr>
          <w:color w:val="000000" w:themeColor="text1"/>
        </w:rPr>
        <w:t>Помимо этого, на продвижение и использование карт «Мир» также повлияли российские маркетплейсы, которые предоставляют клиентам скидку при оплате покупок по СБП</w:t>
      </w:r>
      <w:r w:rsidR="00C33752" w:rsidRPr="00C33752">
        <w:rPr>
          <w:color w:val="000000" w:themeColor="text1"/>
        </w:rPr>
        <w:t xml:space="preserve"> [15]</w:t>
      </w:r>
      <w:r w:rsidR="00DE1E12" w:rsidRPr="00280264">
        <w:rPr>
          <w:color w:val="000000" w:themeColor="text1"/>
        </w:rPr>
        <w:t>. Безусловно, важным фактором в развитии национальной платежной системы и карт «Мир» является поддержка и нормативное стимулирование со стороны государства.</w:t>
      </w:r>
      <w:r w:rsidR="00925514" w:rsidRPr="00280264">
        <w:rPr>
          <w:color w:val="000000" w:themeColor="text1"/>
        </w:rPr>
        <w:t xml:space="preserve"> </w:t>
      </w:r>
      <w:r w:rsidR="00DE1E12" w:rsidRPr="00280264">
        <w:rPr>
          <w:color w:val="000000" w:themeColor="text1"/>
        </w:rPr>
        <w:t xml:space="preserve">Такие меры, как использование «Мир» для  </w:t>
      </w:r>
      <w:r w:rsidR="00925514" w:rsidRPr="00280264">
        <w:rPr>
          <w:color w:val="000000" w:themeColor="text1"/>
        </w:rPr>
        <w:t xml:space="preserve">государственных выплат, </w:t>
      </w:r>
      <w:r w:rsidR="00DE1E12" w:rsidRPr="00280264">
        <w:rPr>
          <w:color w:val="000000" w:themeColor="text1"/>
        </w:rPr>
        <w:t>приостановление выпуска карт иностранных платежных систем</w:t>
      </w:r>
      <w:r w:rsidR="00925514" w:rsidRPr="00280264">
        <w:rPr>
          <w:color w:val="000000" w:themeColor="text1"/>
        </w:rPr>
        <w:t xml:space="preserve">, а также поддержка региональных программ субсидирования операций через </w:t>
      </w:r>
      <w:r w:rsidR="00DE1E12" w:rsidRPr="00280264">
        <w:rPr>
          <w:color w:val="000000" w:themeColor="text1"/>
        </w:rPr>
        <w:t xml:space="preserve">СБП, – повлияли на </w:t>
      </w:r>
      <w:r w:rsidR="00925514" w:rsidRPr="00280264">
        <w:rPr>
          <w:color w:val="000000" w:themeColor="text1"/>
        </w:rPr>
        <w:t>быстр</w:t>
      </w:r>
      <w:r w:rsidR="00DE1E12" w:rsidRPr="00280264">
        <w:rPr>
          <w:color w:val="000000" w:themeColor="text1"/>
        </w:rPr>
        <w:t>ую</w:t>
      </w:r>
      <w:r w:rsidR="00925514" w:rsidRPr="00280264">
        <w:rPr>
          <w:color w:val="000000" w:themeColor="text1"/>
        </w:rPr>
        <w:t xml:space="preserve"> адаптаци</w:t>
      </w:r>
      <w:r w:rsidR="00DE1E12" w:rsidRPr="00280264">
        <w:rPr>
          <w:color w:val="000000" w:themeColor="text1"/>
        </w:rPr>
        <w:t>ю</w:t>
      </w:r>
      <w:r w:rsidR="00925514" w:rsidRPr="00280264">
        <w:rPr>
          <w:color w:val="000000" w:themeColor="text1"/>
        </w:rPr>
        <w:t xml:space="preserve"> новой платёжной </w:t>
      </w:r>
      <w:r w:rsidR="00925514" w:rsidRPr="00280264">
        <w:rPr>
          <w:color w:val="000000" w:themeColor="text1"/>
        </w:rPr>
        <w:lastRenderedPageBreak/>
        <w:t xml:space="preserve">среды. </w:t>
      </w:r>
      <w:r w:rsidR="00DE1E12" w:rsidRPr="00280264">
        <w:rPr>
          <w:color w:val="000000" w:themeColor="text1"/>
        </w:rPr>
        <w:t>Таким образом</w:t>
      </w:r>
      <w:r w:rsidR="00925514" w:rsidRPr="00280264">
        <w:rPr>
          <w:color w:val="000000" w:themeColor="text1"/>
        </w:rPr>
        <w:t xml:space="preserve">, в течение </w:t>
      </w:r>
      <w:r w:rsidR="00DE1E12" w:rsidRPr="00280264">
        <w:rPr>
          <w:color w:val="000000" w:themeColor="text1"/>
        </w:rPr>
        <w:t xml:space="preserve">двух лет </w:t>
      </w:r>
      <w:r w:rsidR="00925514" w:rsidRPr="00280264">
        <w:rPr>
          <w:color w:val="000000" w:themeColor="text1"/>
        </w:rPr>
        <w:t>Россия совершила тотальную реорганизацию всей логики работы с безналичными расчётами внутри страны.</w:t>
      </w:r>
      <w:r w:rsidR="00DE1E12" w:rsidRPr="00280264">
        <w:rPr>
          <w:color w:val="000000" w:themeColor="text1"/>
        </w:rPr>
        <w:t xml:space="preserve"> </w:t>
      </w:r>
    </w:p>
    <w:p w:rsidR="00925514" w:rsidRPr="00280264" w:rsidRDefault="00925514"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СПФС, в свою очередь, развивается не как закрытая альтернатива, а как технологически гибкая и расширяемая система. Подключение иностранных участников происходит на добровольной основе, а интерфейс передачи сообщений строится на основе открытых стандартов, что облегчает интеграцию. </w:t>
      </w:r>
      <w:r w:rsidR="00E727F8" w:rsidRPr="00280264">
        <w:rPr>
          <w:color w:val="000000" w:themeColor="text1"/>
        </w:rPr>
        <w:t xml:space="preserve">На сегодняшний день </w:t>
      </w:r>
      <w:r w:rsidRPr="00280264">
        <w:rPr>
          <w:color w:val="000000" w:themeColor="text1"/>
        </w:rPr>
        <w:t xml:space="preserve">более 50 иностранных </w:t>
      </w:r>
      <w:r w:rsidR="00E727F8" w:rsidRPr="00280264">
        <w:rPr>
          <w:color w:val="000000" w:themeColor="text1"/>
        </w:rPr>
        <w:t>Б</w:t>
      </w:r>
      <w:r w:rsidRPr="00280264">
        <w:rPr>
          <w:color w:val="000000" w:themeColor="text1"/>
        </w:rPr>
        <w:t>анков в странах СНГ, Азии и Ближнего Востока выразили готовность использовать СПФС как канал для расчётов с российскими контрагентами. Ведутся переговоры об объединении СПФС с национальными системами перед</w:t>
      </w:r>
      <w:r w:rsidR="00E727F8" w:rsidRPr="00280264">
        <w:rPr>
          <w:color w:val="000000" w:themeColor="text1"/>
        </w:rPr>
        <w:t>ачи сообщений других государств. Особый и</w:t>
      </w:r>
      <w:r w:rsidRPr="00280264">
        <w:rPr>
          <w:color w:val="000000" w:themeColor="text1"/>
        </w:rPr>
        <w:t>нтерес вызывает и потенциал для развития СПФС в формате мультивалютной платформы. Текущая архитектура допускает расчёты в рублях, юанях, дирхамах и других валютах, что критически важно в условиях ухода доллара и евро из российского оборота. Такая гибкость позволяет проводить операции в удобной валюте, минимизируя расходы на конвертацию и снижая зависимость от колебаний западных курсов. Расчёты по таким каналам стали приоритетом для нефтегазового, металлургического, логистического и аграрного секторов</w:t>
      </w:r>
      <w:r w:rsidR="00C33752" w:rsidRPr="00C33752">
        <w:rPr>
          <w:color w:val="000000" w:themeColor="text1"/>
        </w:rPr>
        <w:t xml:space="preserve"> [16]</w:t>
      </w:r>
      <w:r w:rsidRPr="00280264">
        <w:rPr>
          <w:color w:val="000000" w:themeColor="text1"/>
        </w:rPr>
        <w:t>.</w:t>
      </w:r>
    </w:p>
    <w:p w:rsidR="000A5149" w:rsidRPr="00280264" w:rsidRDefault="00925514"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Трансформация подходов к платёжной инфраструктуре позволила не только компенсировать утраты, но и значительно повысить уровень финансовой инклюзии. Массовое внедрение цифровых решений привело к тому, что даже небольшие предприятия, получили инструменты, </w:t>
      </w:r>
      <w:r w:rsidR="00AB45D7" w:rsidRPr="00280264">
        <w:rPr>
          <w:color w:val="000000" w:themeColor="text1"/>
        </w:rPr>
        <w:t xml:space="preserve">которые </w:t>
      </w:r>
      <w:r w:rsidRPr="00280264">
        <w:rPr>
          <w:color w:val="000000" w:themeColor="text1"/>
        </w:rPr>
        <w:t xml:space="preserve">ранее </w:t>
      </w:r>
      <w:r w:rsidR="00AB45D7" w:rsidRPr="00280264">
        <w:rPr>
          <w:color w:val="000000" w:themeColor="text1"/>
        </w:rPr>
        <w:t xml:space="preserve">были </w:t>
      </w:r>
      <w:r w:rsidRPr="00280264">
        <w:rPr>
          <w:color w:val="000000" w:themeColor="text1"/>
        </w:rPr>
        <w:t xml:space="preserve">доступные лишь крупным компаниям. В сочетании с цифровыми </w:t>
      </w:r>
      <w:r w:rsidR="00AB45D7" w:rsidRPr="00280264">
        <w:rPr>
          <w:color w:val="000000" w:themeColor="text1"/>
        </w:rPr>
        <w:t xml:space="preserve">платформами </w:t>
      </w:r>
      <w:r w:rsidRPr="00280264">
        <w:rPr>
          <w:color w:val="000000" w:themeColor="text1"/>
        </w:rPr>
        <w:t xml:space="preserve">национальные платёжные системы становятся частью единой среды, </w:t>
      </w:r>
      <w:r w:rsidR="00AB45D7" w:rsidRPr="00280264">
        <w:rPr>
          <w:color w:val="000000" w:themeColor="text1"/>
        </w:rPr>
        <w:t xml:space="preserve">которая </w:t>
      </w:r>
      <w:r w:rsidRPr="00280264">
        <w:rPr>
          <w:color w:val="000000" w:themeColor="text1"/>
        </w:rPr>
        <w:t>обеспечива</w:t>
      </w:r>
      <w:r w:rsidR="00AB45D7" w:rsidRPr="00280264">
        <w:rPr>
          <w:color w:val="000000" w:themeColor="text1"/>
        </w:rPr>
        <w:t>ет</w:t>
      </w:r>
      <w:r w:rsidRPr="00280264">
        <w:rPr>
          <w:color w:val="000000" w:themeColor="text1"/>
        </w:rPr>
        <w:t xml:space="preserve"> сквозной контроль, аналитику и прозрачность бизнес-процессов. Такое взаимодействие снижает теневой оборот, упрощает налоговое администрирование и повышает доверие к банковскому сектору со стороны государства.</w:t>
      </w:r>
      <w:r w:rsidR="000A5149" w:rsidRPr="00280264">
        <w:rPr>
          <w:color w:val="000000" w:themeColor="text1"/>
        </w:rPr>
        <w:t xml:space="preserve"> </w:t>
      </w:r>
    </w:p>
    <w:p w:rsidR="00925514" w:rsidRPr="00280264" w:rsidRDefault="000A5149"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Важно отметить, что изменения, которые произошли в результате санкционного давления – не являются временной адаптацией. В ходе трансформации платежных систем сформировалась устойчивая база для роста и развития внутренней платежной независимости, цифрового суверенитета и технологического лидерства. </w:t>
      </w:r>
      <w:r w:rsidR="00925514" w:rsidRPr="00280264">
        <w:rPr>
          <w:color w:val="000000" w:themeColor="text1"/>
        </w:rPr>
        <w:t>Потенциал для экспорта российских решений уже обсуждается с рядом государств Центральной Азии, Персидского залива и Африки, где российский опыт рассматривается как модель выживания и развития в условиях внешнего давления.</w:t>
      </w:r>
    </w:p>
    <w:p w:rsidR="003D296F" w:rsidRPr="00280264" w:rsidRDefault="000E6319" w:rsidP="00280264">
      <w:pPr>
        <w:pStyle w:val="a7"/>
        <w:spacing w:before="0" w:beforeAutospacing="0" w:after="0" w:afterAutospacing="0"/>
        <w:ind w:firstLine="709"/>
        <w:contextualSpacing/>
        <w:jc w:val="both"/>
        <w:rPr>
          <w:color w:val="000000" w:themeColor="text1"/>
        </w:rPr>
      </w:pPr>
      <w:r w:rsidRPr="00280264">
        <w:rPr>
          <w:color w:val="000000" w:themeColor="text1"/>
        </w:rPr>
        <w:t>Формирование национальной платежной инфраструктуры можно считать не только технологическим развитием, но и механизмом</w:t>
      </w:r>
      <w:r w:rsidR="00830C58" w:rsidRPr="00280264">
        <w:rPr>
          <w:color w:val="000000" w:themeColor="text1"/>
        </w:rPr>
        <w:t xml:space="preserve">, который меняет клиентское поведение. Санкционные ограничения ускорили трансформацию банковского сектора, тем самым, сместив акценты с привычных каналов взаимодействия в пользу цифровых решений. В условиях ухода иностранных сервисов и компаний, российские Банки активно перешли к развитию отечественной инфраструктуры. В результате онлайн-банкинг стал основным каналом взаимодействия с клиентами, а его аудитория постоянно расширяется, в том числе, за счет клиентов старшего поколения. Цифровые приложения превратились в полноценные финансовые платформы, концепция которых – это удобство, адаптивность и персонализация. В настоящее время Банки внедряют удобные интерфейсы, подсказки, используют </w:t>
      </w:r>
      <w:r w:rsidR="00195EB5" w:rsidRPr="00280264">
        <w:rPr>
          <w:color w:val="000000" w:themeColor="text1"/>
        </w:rPr>
        <w:t>искусственный интеллект, тем самым обеспечивая стабильный пользовательский опыт</w:t>
      </w:r>
      <w:r w:rsidR="00C33752" w:rsidRPr="00C33752">
        <w:rPr>
          <w:color w:val="000000" w:themeColor="text1"/>
        </w:rPr>
        <w:t xml:space="preserve"> [17]</w:t>
      </w:r>
      <w:r w:rsidR="00195EB5" w:rsidRPr="00280264">
        <w:rPr>
          <w:color w:val="000000" w:themeColor="text1"/>
        </w:rPr>
        <w:t>.</w:t>
      </w:r>
    </w:p>
    <w:p w:rsidR="00EE2939" w:rsidRPr="00280264" w:rsidRDefault="00195EB5"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На сегодняшний день одним из ключевых трендов в банковском секторе – использование приложений-экосистем, которые включают в себя множество сервисов. Благодаря этому пользователь получает комплекс различных продуктов и услуг, которые интегрированы в одно приложение. Банковские, страховые, инвестиционные, а также потребительские сервисы в рамках одной экосистемы позволяют не только удержать клиента, но также формируют поведенческую аналитику и предлагают </w:t>
      </w:r>
      <w:r w:rsidR="00EE2939" w:rsidRPr="00280264">
        <w:rPr>
          <w:color w:val="000000" w:themeColor="text1"/>
        </w:rPr>
        <w:t>персонализированные решения.</w:t>
      </w:r>
    </w:p>
    <w:p w:rsidR="00EE2939" w:rsidRPr="00280264" w:rsidRDefault="00EE2939" w:rsidP="00280264">
      <w:pPr>
        <w:pStyle w:val="a7"/>
        <w:spacing w:before="0" w:beforeAutospacing="0" w:after="0" w:afterAutospacing="0"/>
        <w:ind w:firstLine="709"/>
        <w:contextualSpacing/>
        <w:jc w:val="both"/>
        <w:rPr>
          <w:color w:val="000000" w:themeColor="text1"/>
        </w:rPr>
      </w:pPr>
      <w:r w:rsidRPr="00280264">
        <w:rPr>
          <w:color w:val="000000" w:themeColor="text1"/>
        </w:rPr>
        <w:t xml:space="preserve">Как говорилось ранее, безналичным и бесконтактным операциям уделяется особо внимание. </w:t>
      </w:r>
      <w:r w:rsidR="002E2346" w:rsidRPr="00280264">
        <w:rPr>
          <w:color w:val="000000" w:themeColor="text1"/>
        </w:rPr>
        <w:t xml:space="preserve">Поэтому сегодня </w:t>
      </w:r>
      <w:r w:rsidR="00856CF3" w:rsidRPr="00280264">
        <w:rPr>
          <w:color w:val="000000" w:themeColor="text1"/>
        </w:rPr>
        <w:t xml:space="preserve">практически </w:t>
      </w:r>
      <w:r w:rsidR="002E2346" w:rsidRPr="00280264">
        <w:rPr>
          <w:color w:val="000000" w:themeColor="text1"/>
        </w:rPr>
        <w:t xml:space="preserve">в каждом банковском приложении интегрирована </w:t>
      </w:r>
      <w:r w:rsidR="002E2346" w:rsidRPr="00280264">
        <w:rPr>
          <w:color w:val="000000" w:themeColor="text1"/>
          <w:lang w:val="en-US"/>
        </w:rPr>
        <w:t>NFC</w:t>
      </w:r>
      <w:r w:rsidR="002E2346" w:rsidRPr="00280264">
        <w:rPr>
          <w:color w:val="000000" w:themeColor="text1"/>
        </w:rPr>
        <w:t xml:space="preserve">, СБП и </w:t>
      </w:r>
      <w:r w:rsidR="002E2346" w:rsidRPr="00280264">
        <w:rPr>
          <w:color w:val="000000" w:themeColor="text1"/>
          <w:lang w:val="en-US"/>
        </w:rPr>
        <w:t>QR</w:t>
      </w:r>
      <w:r w:rsidR="002E2346" w:rsidRPr="00280264">
        <w:rPr>
          <w:color w:val="000000" w:themeColor="text1"/>
        </w:rPr>
        <w:t xml:space="preserve">-оплата. Это способствует вовлечению новых пользователей в цифровую </w:t>
      </w:r>
      <w:r w:rsidR="002E2346" w:rsidRPr="00280264">
        <w:rPr>
          <w:color w:val="000000" w:themeColor="text1"/>
        </w:rPr>
        <w:lastRenderedPageBreak/>
        <w:t xml:space="preserve">среду. В текущих условиях цифровая зрелость и клиентоориентированность стали определяющими факторами конкурентоспособности, в результате онлайн-сервисы становятся новым стандартом обслуживания. Ввиду этого, Банки  выстраивают доверительные отношения с клиентами, адаптируют интерфейсы под разные категории пользователей. </w:t>
      </w:r>
    </w:p>
    <w:p w:rsidR="00195EB5" w:rsidRPr="00280264" w:rsidRDefault="00EE2939" w:rsidP="00280264">
      <w:pPr>
        <w:pStyle w:val="a7"/>
        <w:spacing w:before="0" w:beforeAutospacing="0" w:after="0" w:afterAutospacing="0"/>
        <w:ind w:firstLine="709"/>
        <w:contextualSpacing/>
        <w:jc w:val="both"/>
        <w:rPr>
          <w:color w:val="000000" w:themeColor="text1"/>
        </w:rPr>
      </w:pPr>
      <w:r w:rsidRPr="00280264">
        <w:rPr>
          <w:color w:val="000000" w:themeColor="text1"/>
        </w:rPr>
        <w:t>Для корпоративных клиентов Банки стали создавать цифровые решения и специальные сервисы, которые позволяют упростить обслуживание. Так, у клиентов бизнес сегмента появляется возможность удаленно получать справки, формировать отчёты, выставлять счета, а также оплачивать налоги. В свою очередь, это снижает административную нагрузку и стимулирует рост легального предпринимательства. В рамках единой экосистемы большинство Банков предлагают мобильные кассы, приложения для расчёта налогов, онлайн-бухгалтерию, оптимизируя деятельность предприятий.</w:t>
      </w:r>
    </w:p>
    <w:p w:rsidR="002D2B06" w:rsidRDefault="00187426" w:rsidP="00280264">
      <w:pPr>
        <w:pStyle w:val="a7"/>
        <w:spacing w:before="0" w:beforeAutospacing="0" w:after="0" w:afterAutospacing="0"/>
        <w:ind w:firstLine="709"/>
        <w:contextualSpacing/>
        <w:jc w:val="both"/>
        <w:rPr>
          <w:color w:val="000000" w:themeColor="text1"/>
        </w:rPr>
      </w:pPr>
      <w:r w:rsidRPr="00280264">
        <w:rPr>
          <w:color w:val="000000" w:themeColor="text1"/>
        </w:rPr>
        <w:t>Таким образом, Банк превращается в платформу, а клиент становится постоянным участником цифрового взаимодействия. Можно считать, что это и есть ключевой вектор трансформации банковского сектора, запущенный под влиянием санкционного давления. Сервис становится невидимым, встроенным в повседневную жизнь, лишённым барьеров. Использование искусственного интеллекта, алгоритмов машинного обучения позволяет кредитным организациям предугадывать поведение клиентов и оперативно реагировать на их запросы, что обеспечивает устойчивость и стратегическую перспективу в долгосрочном горизонте.</w:t>
      </w:r>
    </w:p>
    <w:p w:rsidR="00BF5217" w:rsidRDefault="00BF5217" w:rsidP="00280264">
      <w:pPr>
        <w:pStyle w:val="a7"/>
        <w:spacing w:before="0" w:beforeAutospacing="0" w:after="0" w:afterAutospacing="0"/>
        <w:ind w:firstLine="709"/>
        <w:contextualSpacing/>
        <w:jc w:val="both"/>
        <w:rPr>
          <w:color w:val="000000" w:themeColor="text1"/>
        </w:rPr>
      </w:pPr>
      <w:r w:rsidRPr="00BF5217">
        <w:rPr>
          <w:color w:val="000000" w:themeColor="text1"/>
        </w:rPr>
        <w:t>_________________________</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1.</w:t>
      </w:r>
      <w:r w:rsidRPr="00C33752">
        <w:rPr>
          <w:color w:val="000000" w:themeColor="text1"/>
        </w:rPr>
        <w:tab/>
        <w:t xml:space="preserve">Антипов А. А., Артамонова Я. С. АНТИРОССИЙСКИЕ САНКЦИИ И СОВРЕМЕННОЕ ЦИФРОВОЕ ОБЩЕСТВО В РОССИЙСКОЙ ФЕДЕРАЦИИ // Закон и власть. </w:t>
      </w:r>
      <w:r w:rsidRPr="00C33752">
        <w:rPr>
          <w:color w:val="000000" w:themeColor="text1"/>
          <w:lang w:val="en-US"/>
        </w:rPr>
        <w:t xml:space="preserve">2023. №4. URL: https://cyberleninka.ru/article/n/antirossiyskie-sanktsii-i-sovremennoe-tsifrovoe-obschestvo-v-rossiyskoy-federatsii </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2.</w:t>
      </w:r>
      <w:r w:rsidRPr="00C33752">
        <w:rPr>
          <w:color w:val="000000" w:themeColor="text1"/>
        </w:rPr>
        <w:tab/>
        <w:t xml:space="preserve">Лебедев А. С. АНТИРОССИЙСКИЕ САНКЦИИ В ГЛОБАЛЬНОЙ ЭКОНОМИЧЕСКОЙ ВОЙНЕ // Вестник МГИМО. </w:t>
      </w:r>
      <w:r w:rsidRPr="00C33752">
        <w:rPr>
          <w:color w:val="000000" w:themeColor="text1"/>
          <w:lang w:val="en-US"/>
        </w:rPr>
        <w:t xml:space="preserve">2022. №6. URL: https://cyberleninka.ru/article/n/antirossiyskie-sanktsii-v-globalnoy-ekonomicheskoy-voyne </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3.</w:t>
      </w:r>
      <w:r w:rsidRPr="00C33752">
        <w:rPr>
          <w:color w:val="000000" w:themeColor="text1"/>
        </w:rPr>
        <w:tab/>
        <w:t xml:space="preserve">Г. В. </w:t>
      </w:r>
      <w:proofErr w:type="spellStart"/>
      <w:r w:rsidRPr="00C33752">
        <w:rPr>
          <w:color w:val="000000" w:themeColor="text1"/>
        </w:rPr>
        <w:t>Семеко</w:t>
      </w:r>
      <w:proofErr w:type="spellEnd"/>
      <w:r w:rsidRPr="00C33752">
        <w:rPr>
          <w:color w:val="000000" w:themeColor="text1"/>
        </w:rPr>
        <w:t xml:space="preserve"> БАНКОВСКИЙ СЕКТОР РОССИИ В УСЛОВИЯХ МЕЖДУНАРОДНЫХ САНКЦИЙ // ЭСПР. 2023. </w:t>
      </w:r>
      <w:r w:rsidRPr="00C33752">
        <w:rPr>
          <w:color w:val="000000" w:themeColor="text1"/>
          <w:lang w:val="en-US"/>
        </w:rPr>
        <w:t xml:space="preserve">№2 (54). URL: https://cyberleninka.ru/article/n/bankovskiy-sektor-rossii-v-usloviyah-mezhdunarodnyh-sanktsiy </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4.</w:t>
      </w:r>
      <w:r w:rsidRPr="00C33752">
        <w:rPr>
          <w:color w:val="000000" w:themeColor="text1"/>
        </w:rPr>
        <w:tab/>
        <w:t xml:space="preserve">Шапиро И. Е., Пасечник Д. Е. ВЛИЯНИЕ МЕЖДУНАРОДНЫХ САНКЦИЙ НА РАЗВИТИЕ БАНКОВСКОЙ СИСТЕМЫ РОССИЙСКОЙ ФЕДЕРАЦИИ // Вестник РГЭУ РИНХ. 2022. </w:t>
      </w:r>
      <w:r w:rsidRPr="00C33752">
        <w:rPr>
          <w:color w:val="000000" w:themeColor="text1"/>
          <w:lang w:val="en-US"/>
        </w:rPr>
        <w:t>№2 (78). URL: https://cyberleninka.ru/article/n/vliyanie-mezhdunarodnyh-sanktsiy-na-razvitie-bankovskoy-sistemy-rossiyskoy-federatsii</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5.</w:t>
      </w:r>
      <w:r w:rsidRPr="00C33752">
        <w:rPr>
          <w:color w:val="000000" w:themeColor="text1"/>
        </w:rPr>
        <w:tab/>
        <w:t xml:space="preserve">С. С. </w:t>
      </w:r>
      <w:proofErr w:type="spellStart"/>
      <w:r w:rsidRPr="00C33752">
        <w:rPr>
          <w:color w:val="000000" w:themeColor="text1"/>
        </w:rPr>
        <w:t>Матвеевский</w:t>
      </w:r>
      <w:proofErr w:type="spellEnd"/>
      <w:r w:rsidRPr="00C33752">
        <w:rPr>
          <w:color w:val="000000" w:themeColor="text1"/>
        </w:rPr>
        <w:t xml:space="preserve">, Л. В. </w:t>
      </w:r>
      <w:proofErr w:type="spellStart"/>
      <w:r w:rsidRPr="00C33752">
        <w:rPr>
          <w:color w:val="000000" w:themeColor="text1"/>
        </w:rPr>
        <w:t>Кехян</w:t>
      </w:r>
      <w:proofErr w:type="spellEnd"/>
      <w:r w:rsidRPr="00C33752">
        <w:rPr>
          <w:color w:val="000000" w:themeColor="text1"/>
        </w:rPr>
        <w:t xml:space="preserve"> ИСПОЛЬЗОВАНИЕ БАНКОВСКИХ КАРТ РОССИЯНАМИ В УСЛОВИЯХ САНКЦИЙ // Финансовые рынки и банки. </w:t>
      </w:r>
      <w:r w:rsidRPr="00C33752">
        <w:rPr>
          <w:color w:val="000000" w:themeColor="text1"/>
          <w:lang w:val="en-US"/>
        </w:rPr>
        <w:t>2023. №5. URL: https://cyberleninka.ru/article/n/ispolzovanie-bankovskih-kart-rossiyanami-v-usloviyah-sanktsiy</w:t>
      </w:r>
    </w:p>
    <w:p w:rsidR="00C33752" w:rsidRPr="00C33752" w:rsidRDefault="00C33752" w:rsidP="00C33752">
      <w:pPr>
        <w:pStyle w:val="a7"/>
        <w:spacing w:before="0" w:beforeAutospacing="0" w:after="0" w:afterAutospacing="0"/>
        <w:ind w:firstLine="284"/>
        <w:contextualSpacing/>
        <w:jc w:val="both"/>
        <w:rPr>
          <w:color w:val="000000" w:themeColor="text1"/>
        </w:rPr>
      </w:pPr>
      <w:r w:rsidRPr="00C33752">
        <w:rPr>
          <w:color w:val="000000" w:themeColor="text1"/>
        </w:rPr>
        <w:t>6.</w:t>
      </w:r>
      <w:r w:rsidRPr="00C33752">
        <w:rPr>
          <w:color w:val="000000" w:themeColor="text1"/>
        </w:rPr>
        <w:tab/>
        <w:t>Лисин, А. В. Анализ влияния Банка России на банковский сектор в условиях «санкционных рисков» / А. В. Лисин // Финансовые рынки и банки. – 2022. – № 6. – С. 90-93.</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7.</w:t>
      </w:r>
      <w:r w:rsidRPr="00C33752">
        <w:rPr>
          <w:color w:val="000000" w:themeColor="text1"/>
        </w:rPr>
        <w:tab/>
        <w:t xml:space="preserve">Егоров Г. А. НАЦИОНАЛЬНАЯ СИСТЕМА ПЛАТЕЖНЫХ КАРТ ИЛИ РОССИЙСКИЙ ПЛАТЕЖНЫЙ СУВЕРЕНИТЕТ // Вестник науки. </w:t>
      </w:r>
      <w:r w:rsidRPr="00C33752">
        <w:rPr>
          <w:color w:val="000000" w:themeColor="text1"/>
          <w:lang w:val="en-US"/>
        </w:rPr>
        <w:t xml:space="preserve">2023. №1 (58). URL: https://cyberleninka.ru/article/n/natsionalnaya-sistema-platezhnyh-kart-ili-rossiyskiy-platezhnyy-suverenitet </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8.</w:t>
      </w:r>
      <w:r w:rsidRPr="00C33752">
        <w:rPr>
          <w:color w:val="000000" w:themeColor="text1"/>
        </w:rPr>
        <w:tab/>
        <w:t xml:space="preserve">С. М. </w:t>
      </w:r>
      <w:proofErr w:type="spellStart"/>
      <w:r w:rsidRPr="00C33752">
        <w:rPr>
          <w:color w:val="000000" w:themeColor="text1"/>
        </w:rPr>
        <w:t>Шавалиева</w:t>
      </w:r>
      <w:proofErr w:type="spellEnd"/>
      <w:r w:rsidRPr="00C33752">
        <w:rPr>
          <w:color w:val="000000" w:themeColor="text1"/>
        </w:rPr>
        <w:t xml:space="preserve"> ОСУЩЕСТВЛЕНИЯ РОССИЙСКИХ ПЛАТЕЖЕЙ С МЕЖДУНАРОДНЫМИ КОНТРАГЕНТАМИ ПОСЛЕ ВВЕДЕНИЯ САНКЦИЙ 2022 ГОДА // Финансовые рынки и банки. </w:t>
      </w:r>
      <w:r w:rsidRPr="00C33752">
        <w:rPr>
          <w:color w:val="000000" w:themeColor="text1"/>
          <w:lang w:val="en-US"/>
        </w:rPr>
        <w:t xml:space="preserve">2022. №10. URL: https://cyberleninka.ru/article/n/osuschestvleniya-rossiyskih-platezhey-s-mezhdunarodnymi-kontragentami-posle-vvedeniya-sanktsiy-2022-goda </w:t>
      </w:r>
    </w:p>
    <w:p w:rsidR="00C33752" w:rsidRPr="00C33752" w:rsidRDefault="00C33752" w:rsidP="00C33752">
      <w:pPr>
        <w:pStyle w:val="a7"/>
        <w:spacing w:before="0" w:beforeAutospacing="0" w:after="0" w:afterAutospacing="0"/>
        <w:ind w:firstLine="284"/>
        <w:contextualSpacing/>
        <w:jc w:val="both"/>
        <w:rPr>
          <w:color w:val="000000" w:themeColor="text1"/>
        </w:rPr>
      </w:pPr>
      <w:r w:rsidRPr="00C33752">
        <w:rPr>
          <w:color w:val="000000" w:themeColor="text1"/>
        </w:rPr>
        <w:t>9.</w:t>
      </w:r>
      <w:r w:rsidRPr="00C33752">
        <w:rPr>
          <w:color w:val="000000" w:themeColor="text1"/>
        </w:rPr>
        <w:tab/>
        <w:t xml:space="preserve">Е. В. </w:t>
      </w:r>
      <w:proofErr w:type="spellStart"/>
      <w:r w:rsidRPr="00C33752">
        <w:rPr>
          <w:color w:val="000000" w:themeColor="text1"/>
        </w:rPr>
        <w:t>Красова</w:t>
      </w:r>
      <w:proofErr w:type="spellEnd"/>
      <w:r w:rsidRPr="00C33752">
        <w:rPr>
          <w:color w:val="000000" w:themeColor="text1"/>
        </w:rPr>
        <w:t xml:space="preserve">, Р. И. </w:t>
      </w:r>
      <w:proofErr w:type="spellStart"/>
      <w:r w:rsidRPr="00C33752">
        <w:rPr>
          <w:color w:val="000000" w:themeColor="text1"/>
        </w:rPr>
        <w:t>Гриванов</w:t>
      </w:r>
      <w:proofErr w:type="spellEnd"/>
      <w:r w:rsidRPr="00C33752">
        <w:rPr>
          <w:color w:val="000000" w:themeColor="text1"/>
        </w:rPr>
        <w:t xml:space="preserve"> ТЕНДЕНЦИИ РАЗВИТИЯ НАЦИОНАЛЬНОЙ ПЛАТЕЖНОЙ СИСТЕМЫ РОССИИ В УСЛОВИЯХ УСИЛЕНИЯ ВНЕШНЕПОЛИТИЧЕСКОГО ДАВЛЕНИЯ // Вестник </w:t>
      </w:r>
      <w:proofErr w:type="spellStart"/>
      <w:r w:rsidRPr="00C33752">
        <w:rPr>
          <w:color w:val="000000" w:themeColor="text1"/>
        </w:rPr>
        <w:t>ВолГУ</w:t>
      </w:r>
      <w:proofErr w:type="spellEnd"/>
      <w:r w:rsidRPr="00C33752">
        <w:rPr>
          <w:color w:val="000000" w:themeColor="text1"/>
        </w:rPr>
        <w:t xml:space="preserve">. Экономика. 2022. №4. URL: </w:t>
      </w:r>
      <w:r w:rsidRPr="00C33752">
        <w:rPr>
          <w:color w:val="000000" w:themeColor="text1"/>
        </w:rPr>
        <w:lastRenderedPageBreak/>
        <w:t>https://cyberleninka.ru/article/n/tendentsii-razvitiya-natsionalnoy-platezhnoy-sistemy-rossii-v-usloviyah-usileniya-vneshnepoliticheskogo-davleniya</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10.</w:t>
      </w:r>
      <w:r w:rsidRPr="00C33752">
        <w:rPr>
          <w:color w:val="000000" w:themeColor="text1"/>
        </w:rPr>
        <w:tab/>
        <w:t xml:space="preserve">Итоги работы Банка России 2024: Развитие национальной платежной системы // Центральный банк РФ. </w:t>
      </w:r>
      <w:r w:rsidRPr="00C33752">
        <w:rPr>
          <w:color w:val="000000" w:themeColor="text1"/>
          <w:lang w:val="en-US"/>
        </w:rPr>
        <w:t xml:space="preserve">URL: https://cbr.ru/about_br/publ/results_work/2024/razvitie-sistemy-platezhey-i-raschetov/ </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11.</w:t>
      </w:r>
      <w:r w:rsidRPr="00C33752">
        <w:rPr>
          <w:color w:val="000000" w:themeColor="text1"/>
        </w:rPr>
        <w:tab/>
        <w:t xml:space="preserve">А. Н. Алексахин, О. В. Дорофеев, А. Е. Зубанова ФОРМИРОВАНИЕ КОНКУРЕНТНОЙ СРЕДЫ НА РЫНКЕ ЭЛЕКТРОННЫХ ПЛАТЕЖНЫХ СИСТЕМ // Современная конкуренция. </w:t>
      </w:r>
      <w:r w:rsidRPr="00C33752">
        <w:rPr>
          <w:color w:val="000000" w:themeColor="text1"/>
          <w:lang w:val="en-US"/>
        </w:rPr>
        <w:t xml:space="preserve">2022. №2 (86). URL: https://cyberleninka.ru/article/n/formirovanie-konkurentnoy-sredy-na-rynke-elektronnyh-platezhnyh-sistem </w:t>
      </w:r>
    </w:p>
    <w:p w:rsidR="00C33752" w:rsidRPr="00C33752" w:rsidRDefault="00C33752" w:rsidP="00C33752">
      <w:pPr>
        <w:pStyle w:val="a7"/>
        <w:spacing w:before="0" w:beforeAutospacing="0" w:after="0" w:afterAutospacing="0"/>
        <w:ind w:firstLine="284"/>
        <w:contextualSpacing/>
        <w:jc w:val="both"/>
        <w:rPr>
          <w:color w:val="000000" w:themeColor="text1"/>
        </w:rPr>
      </w:pPr>
      <w:r w:rsidRPr="00C33752">
        <w:rPr>
          <w:color w:val="000000" w:themeColor="text1"/>
        </w:rPr>
        <w:t>12.</w:t>
      </w:r>
      <w:r w:rsidRPr="00C33752">
        <w:rPr>
          <w:color w:val="000000" w:themeColor="text1"/>
        </w:rPr>
        <w:tab/>
        <w:t xml:space="preserve">Д. А. Воронцов, Г. О. Толстиков // Анализ влияния мер поддержки банковского сектора Центральным банком Российской Федерации в условиях антироссийский санкций / Бизнес. Образование. Право. – 2023. – № 2(63). – С. 187-195. </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13.</w:t>
      </w:r>
      <w:r w:rsidRPr="00C33752">
        <w:rPr>
          <w:color w:val="000000" w:themeColor="text1"/>
        </w:rPr>
        <w:tab/>
        <w:t xml:space="preserve">Е. Б. Чернобровкина НАЦИОНАЛЬНАЯ ПЛАТЕЖНАЯ СИСТЕМА КАК ЭЛЕМЕНТ ИНФРАСТРУКТУРЫ НАЦИОНАЛЬНОЙ БЕЗОПАСНОСТИ // Юридическая наука. </w:t>
      </w:r>
      <w:r w:rsidRPr="00C33752">
        <w:rPr>
          <w:color w:val="000000" w:themeColor="text1"/>
          <w:lang w:val="en-US"/>
        </w:rPr>
        <w:t>2023. №6. URL: https://cyberleninka.ru/article/n/natsionalnaya-platezhnaya-sistema-kak-element-infrastruktury-natsionalnoy-bezopasnosti</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14.</w:t>
      </w:r>
      <w:r w:rsidRPr="00C33752">
        <w:rPr>
          <w:color w:val="000000" w:themeColor="text1"/>
        </w:rPr>
        <w:tab/>
      </w:r>
      <w:proofErr w:type="spellStart"/>
      <w:r w:rsidRPr="00C33752">
        <w:rPr>
          <w:color w:val="000000" w:themeColor="text1"/>
        </w:rPr>
        <w:t>Пыхтин</w:t>
      </w:r>
      <w:proofErr w:type="spellEnd"/>
      <w:r w:rsidRPr="00C33752">
        <w:rPr>
          <w:color w:val="000000" w:themeColor="text1"/>
        </w:rPr>
        <w:t xml:space="preserve"> С. В. ОПЛАТА ПО QR-КОДУ КАК СПОСОБ БЕЗНАЛИЧНЫХ РАСЧЕТОВ // Вестник Университета имени О. Е. </w:t>
      </w:r>
      <w:proofErr w:type="spellStart"/>
      <w:r w:rsidRPr="00C33752">
        <w:rPr>
          <w:color w:val="000000" w:themeColor="text1"/>
        </w:rPr>
        <w:t>Кутафина</w:t>
      </w:r>
      <w:proofErr w:type="spellEnd"/>
      <w:r w:rsidRPr="00C33752">
        <w:rPr>
          <w:color w:val="000000" w:themeColor="text1"/>
        </w:rPr>
        <w:t xml:space="preserve">. </w:t>
      </w:r>
      <w:r w:rsidRPr="00C33752">
        <w:rPr>
          <w:color w:val="000000" w:themeColor="text1"/>
          <w:lang w:val="en-US"/>
        </w:rPr>
        <w:t xml:space="preserve">2023. №1 (101). URL: https://cyberleninka.ru/article/n/oplata-po-qr-kodu-kak-sposob-beznalichnyh-raschetov </w:t>
      </w:r>
    </w:p>
    <w:p w:rsidR="00C33752" w:rsidRPr="00C33752" w:rsidRDefault="00C33752" w:rsidP="00C33752">
      <w:pPr>
        <w:pStyle w:val="a7"/>
        <w:spacing w:before="0" w:beforeAutospacing="0" w:after="0" w:afterAutospacing="0"/>
        <w:ind w:firstLine="284"/>
        <w:contextualSpacing/>
        <w:jc w:val="both"/>
        <w:rPr>
          <w:color w:val="000000" w:themeColor="text1"/>
        </w:rPr>
      </w:pPr>
      <w:r w:rsidRPr="00C33752">
        <w:rPr>
          <w:color w:val="000000" w:themeColor="text1"/>
        </w:rPr>
        <w:t>15.</w:t>
      </w:r>
      <w:r w:rsidRPr="00C33752">
        <w:rPr>
          <w:color w:val="000000" w:themeColor="text1"/>
        </w:rPr>
        <w:tab/>
        <w:t>Бутич Ф. Е. Цифровая трансформация банковского сектора: тенденции и проблемы/ Ф. Е. Бутич, Т. В. Бубновская // , 29–30 мая 2024 года, 2024. – P. 88-91.</w:t>
      </w:r>
    </w:p>
    <w:p w:rsidR="00C33752" w:rsidRPr="00C33752" w:rsidRDefault="00C33752" w:rsidP="00C33752">
      <w:pPr>
        <w:pStyle w:val="a7"/>
        <w:spacing w:before="0" w:beforeAutospacing="0" w:after="0" w:afterAutospacing="0"/>
        <w:ind w:firstLine="284"/>
        <w:contextualSpacing/>
        <w:jc w:val="both"/>
        <w:rPr>
          <w:color w:val="000000" w:themeColor="text1"/>
          <w:lang w:val="en-US"/>
        </w:rPr>
      </w:pPr>
      <w:r w:rsidRPr="00C33752">
        <w:rPr>
          <w:color w:val="000000" w:themeColor="text1"/>
        </w:rPr>
        <w:t>16.</w:t>
      </w:r>
      <w:r w:rsidRPr="00C33752">
        <w:rPr>
          <w:color w:val="000000" w:themeColor="text1"/>
        </w:rPr>
        <w:tab/>
        <w:t xml:space="preserve">О. Е. Сидорова РЫНОК БЕЗНАЛИЧНЫХ ПЛАТЕЖЕЙ В РОССИИ - ТЕНДЕНЦИИ И ПЕРСПЕКТИВЫ // Вестник евразийской науки. </w:t>
      </w:r>
      <w:r w:rsidRPr="00C33752">
        <w:rPr>
          <w:color w:val="000000" w:themeColor="text1"/>
          <w:lang w:val="en-US"/>
        </w:rPr>
        <w:t>2022. №2. URL: https://cyberleninka.ru/article/n/rynok-beznalichnyh-platezhey-v-rossii-tendentsii-i-perspektivy</w:t>
      </w:r>
    </w:p>
    <w:p w:rsidR="00CA37FD" w:rsidRPr="00280264" w:rsidRDefault="00C33752" w:rsidP="00C33752">
      <w:pPr>
        <w:pStyle w:val="a7"/>
        <w:spacing w:before="0" w:beforeAutospacing="0" w:after="0" w:afterAutospacing="0"/>
        <w:ind w:firstLine="284"/>
        <w:contextualSpacing/>
        <w:jc w:val="both"/>
        <w:rPr>
          <w:color w:val="000000" w:themeColor="text1"/>
        </w:rPr>
      </w:pPr>
      <w:r w:rsidRPr="00C33752">
        <w:rPr>
          <w:color w:val="000000" w:themeColor="text1"/>
        </w:rPr>
        <w:t>17.</w:t>
      </w:r>
      <w:r w:rsidRPr="00C33752">
        <w:rPr>
          <w:color w:val="000000" w:themeColor="text1"/>
        </w:rPr>
        <w:tab/>
        <w:t>Бубновская, Т. В. Цифровая финансовая грамотность клиентов при использовании банковских продуктов / Т. В. Бубновская, Ф. Е. Бутич // Вызовы современности и стратегии развития общества в условиях новой реальности, Москва, 10 ноября 2023 года. – Москва: Алеф, 2023. – С. 200-203.</w:t>
      </w:r>
    </w:p>
    <w:sectPr w:rsidR="00CA37FD" w:rsidRPr="00280264" w:rsidSect="00577A2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1F02B7"/>
    <w:multiLevelType w:val="multilevel"/>
    <w:tmpl w:val="29B6B924"/>
    <w:lvl w:ilvl="0">
      <w:start w:val="1"/>
      <w:numFmt w:val="decimal"/>
      <w:lvlText w:val="%1"/>
      <w:lvlJc w:val="left"/>
      <w:pPr>
        <w:ind w:left="1429" w:hanging="360"/>
      </w:pPr>
      <w:rPr>
        <w:rFonts w:hint="default"/>
      </w:rPr>
    </w:lvl>
    <w:lvl w:ilvl="1">
      <w:start w:val="1"/>
      <w:numFmt w:val="decimal"/>
      <w:isLgl/>
      <w:lvlText w:val="%1.%2"/>
      <w:lvlJc w:val="left"/>
      <w:pPr>
        <w:ind w:left="1537" w:hanging="468"/>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509"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BBD"/>
    <w:rsid w:val="00023EB4"/>
    <w:rsid w:val="000363CE"/>
    <w:rsid w:val="00040843"/>
    <w:rsid w:val="00055E57"/>
    <w:rsid w:val="00083E02"/>
    <w:rsid w:val="0009317B"/>
    <w:rsid w:val="000A5149"/>
    <w:rsid w:val="000E6319"/>
    <w:rsid w:val="00103FAA"/>
    <w:rsid w:val="00187426"/>
    <w:rsid w:val="00195EB5"/>
    <w:rsid w:val="001E39D2"/>
    <w:rsid w:val="00202819"/>
    <w:rsid w:val="00206917"/>
    <w:rsid w:val="002107AB"/>
    <w:rsid w:val="00215EC4"/>
    <w:rsid w:val="00280264"/>
    <w:rsid w:val="002856A9"/>
    <w:rsid w:val="002B21F3"/>
    <w:rsid w:val="002C6E78"/>
    <w:rsid w:val="002D2B06"/>
    <w:rsid w:val="002E2346"/>
    <w:rsid w:val="002E5C32"/>
    <w:rsid w:val="002F619B"/>
    <w:rsid w:val="00313453"/>
    <w:rsid w:val="003523EE"/>
    <w:rsid w:val="00367353"/>
    <w:rsid w:val="003D296F"/>
    <w:rsid w:val="003D6630"/>
    <w:rsid w:val="00470901"/>
    <w:rsid w:val="004776CC"/>
    <w:rsid w:val="004A5696"/>
    <w:rsid w:val="004C0568"/>
    <w:rsid w:val="00555107"/>
    <w:rsid w:val="00577A2D"/>
    <w:rsid w:val="00592FB4"/>
    <w:rsid w:val="005D35BE"/>
    <w:rsid w:val="005E1429"/>
    <w:rsid w:val="005F2282"/>
    <w:rsid w:val="00640C55"/>
    <w:rsid w:val="00650DB4"/>
    <w:rsid w:val="006834CA"/>
    <w:rsid w:val="006D44D0"/>
    <w:rsid w:val="00712BBD"/>
    <w:rsid w:val="00736493"/>
    <w:rsid w:val="00754355"/>
    <w:rsid w:val="0075468E"/>
    <w:rsid w:val="007B3984"/>
    <w:rsid w:val="007C3642"/>
    <w:rsid w:val="007D6245"/>
    <w:rsid w:val="00826156"/>
    <w:rsid w:val="00830C58"/>
    <w:rsid w:val="00854EE4"/>
    <w:rsid w:val="00856CF3"/>
    <w:rsid w:val="008A3955"/>
    <w:rsid w:val="00900A4C"/>
    <w:rsid w:val="00925514"/>
    <w:rsid w:val="00935928"/>
    <w:rsid w:val="009523C3"/>
    <w:rsid w:val="00963B32"/>
    <w:rsid w:val="00A13430"/>
    <w:rsid w:val="00A94A75"/>
    <w:rsid w:val="00AA17E1"/>
    <w:rsid w:val="00AB45D7"/>
    <w:rsid w:val="00AD229E"/>
    <w:rsid w:val="00AD2D60"/>
    <w:rsid w:val="00B10ED2"/>
    <w:rsid w:val="00B42ECC"/>
    <w:rsid w:val="00BF5217"/>
    <w:rsid w:val="00C26EC7"/>
    <w:rsid w:val="00C328F2"/>
    <w:rsid w:val="00C33752"/>
    <w:rsid w:val="00C615B3"/>
    <w:rsid w:val="00C64AF7"/>
    <w:rsid w:val="00C65578"/>
    <w:rsid w:val="00C8712C"/>
    <w:rsid w:val="00C9550D"/>
    <w:rsid w:val="00CA37FD"/>
    <w:rsid w:val="00D93F7A"/>
    <w:rsid w:val="00DA060D"/>
    <w:rsid w:val="00DB2EDE"/>
    <w:rsid w:val="00DE1E12"/>
    <w:rsid w:val="00E16A98"/>
    <w:rsid w:val="00E26D51"/>
    <w:rsid w:val="00E727F8"/>
    <w:rsid w:val="00EC18EB"/>
    <w:rsid w:val="00EE2939"/>
    <w:rsid w:val="00F67022"/>
    <w:rsid w:val="00FB6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A41B0F-4161-410D-895D-36E65596E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555107"/>
  </w:style>
  <w:style w:type="paragraph" w:styleId="1">
    <w:name w:val="heading 1"/>
    <w:basedOn w:val="a"/>
    <w:next w:val="a"/>
    <w:link w:val="10"/>
    <w:uiPriority w:val="9"/>
    <w:qFormat/>
    <w:rsid w:val="00040843"/>
    <w:pPr>
      <w:keepNext/>
      <w:keepLines/>
      <w:spacing w:after="240" w:line="240" w:lineRule="auto"/>
      <w:ind w:firstLine="709"/>
      <w:jc w:val="both"/>
      <w:outlineLvl w:val="0"/>
    </w:pPr>
    <w:rPr>
      <w:rFonts w:ascii="Arial" w:eastAsiaTheme="majorEastAsia" w:hAnsi="Arial" w:cstheme="majorBidi"/>
      <w:bCs/>
      <w:sz w:val="30"/>
      <w:szCs w:val="28"/>
      <w:lang w:eastAsia="ru-RU"/>
    </w:rPr>
  </w:style>
  <w:style w:type="paragraph" w:styleId="2">
    <w:name w:val="heading 2"/>
    <w:basedOn w:val="a"/>
    <w:next w:val="a"/>
    <w:link w:val="20"/>
    <w:autoRedefine/>
    <w:qFormat/>
    <w:rsid w:val="00040843"/>
    <w:pPr>
      <w:keepNext/>
      <w:spacing w:before="240" w:after="240" w:line="240" w:lineRule="auto"/>
      <w:ind w:firstLine="709"/>
      <w:contextualSpacing/>
      <w:jc w:val="center"/>
      <w:outlineLvl w:val="1"/>
    </w:pPr>
    <w:rPr>
      <w:rFonts w:ascii="Arial" w:eastAsia="Times New Roman" w:hAnsi="Arial" w:cs="Arial"/>
      <w:bCs/>
      <w:iCs/>
      <w:sz w:val="30"/>
      <w:szCs w:val="28"/>
      <w:lang w:eastAsia="ru-RU"/>
    </w:rPr>
  </w:style>
  <w:style w:type="paragraph" w:styleId="3">
    <w:name w:val="heading 3"/>
    <w:aliases w:val="Подзаголовок 1"/>
    <w:basedOn w:val="a"/>
    <w:next w:val="a"/>
    <w:link w:val="30"/>
    <w:uiPriority w:val="9"/>
    <w:unhideWhenUsed/>
    <w:qFormat/>
    <w:rsid w:val="00040843"/>
    <w:pPr>
      <w:keepNext/>
      <w:keepLines/>
      <w:spacing w:after="120" w:line="240" w:lineRule="auto"/>
      <w:ind w:firstLine="709"/>
      <w:jc w:val="both"/>
      <w:outlineLvl w:val="2"/>
    </w:pPr>
    <w:rPr>
      <w:rFonts w:ascii="Arial" w:eastAsiaTheme="majorEastAsia" w:hAnsi="Arial" w:cstheme="majorBidi"/>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40843"/>
    <w:rPr>
      <w:rFonts w:ascii="Arial" w:eastAsiaTheme="majorEastAsia" w:hAnsi="Arial" w:cstheme="majorBidi"/>
      <w:bCs/>
      <w:sz w:val="30"/>
      <w:szCs w:val="28"/>
      <w:lang w:eastAsia="ru-RU"/>
    </w:rPr>
  </w:style>
  <w:style w:type="character" w:customStyle="1" w:styleId="20">
    <w:name w:val="Заголовок 2 Знак"/>
    <w:basedOn w:val="a0"/>
    <w:link w:val="2"/>
    <w:rsid w:val="00040843"/>
    <w:rPr>
      <w:rFonts w:ascii="Arial" w:eastAsia="Times New Roman" w:hAnsi="Arial" w:cs="Arial"/>
      <w:bCs/>
      <w:iCs/>
      <w:sz w:val="30"/>
      <w:szCs w:val="28"/>
      <w:lang w:eastAsia="ru-RU"/>
    </w:rPr>
  </w:style>
  <w:style w:type="paragraph" w:styleId="a3">
    <w:name w:val="No Spacing"/>
    <w:aliases w:val="TNR 14"/>
    <w:next w:val="a4"/>
    <w:link w:val="a5"/>
    <w:autoRedefine/>
    <w:uiPriority w:val="1"/>
    <w:qFormat/>
    <w:rsid w:val="00040843"/>
    <w:pPr>
      <w:widowControl w:val="0"/>
      <w:autoSpaceDE w:val="0"/>
      <w:autoSpaceDN w:val="0"/>
      <w:spacing w:after="0" w:line="360" w:lineRule="auto"/>
      <w:ind w:firstLine="709"/>
      <w:contextualSpacing/>
      <w:jc w:val="both"/>
    </w:pPr>
    <w:rPr>
      <w:rFonts w:ascii="Times New Roman" w:hAnsi="Times New Roman"/>
      <w:sz w:val="28"/>
    </w:rPr>
  </w:style>
  <w:style w:type="character" w:customStyle="1" w:styleId="30">
    <w:name w:val="Заголовок 3 Знак"/>
    <w:aliases w:val="Подзаголовок 1 Знак"/>
    <w:basedOn w:val="a0"/>
    <w:link w:val="3"/>
    <w:uiPriority w:val="9"/>
    <w:rsid w:val="00040843"/>
    <w:rPr>
      <w:rFonts w:ascii="Arial" w:eastAsiaTheme="majorEastAsia" w:hAnsi="Arial" w:cstheme="majorBidi"/>
      <w:bCs/>
      <w:sz w:val="28"/>
    </w:rPr>
  </w:style>
  <w:style w:type="paragraph" w:styleId="a4">
    <w:name w:val="Body Text"/>
    <w:basedOn w:val="a"/>
    <w:link w:val="a6"/>
    <w:uiPriority w:val="99"/>
    <w:semiHidden/>
    <w:unhideWhenUsed/>
    <w:rsid w:val="00040843"/>
    <w:pPr>
      <w:spacing w:after="120"/>
    </w:pPr>
  </w:style>
  <w:style w:type="character" w:customStyle="1" w:styleId="a6">
    <w:name w:val="Основной текст Знак"/>
    <w:basedOn w:val="a0"/>
    <w:link w:val="a4"/>
    <w:uiPriority w:val="99"/>
    <w:semiHidden/>
    <w:rsid w:val="00040843"/>
  </w:style>
  <w:style w:type="paragraph" w:styleId="a7">
    <w:name w:val="Normal (Web)"/>
    <w:basedOn w:val="a"/>
    <w:uiPriority w:val="99"/>
    <w:unhideWhenUsed/>
    <w:rsid w:val="003D66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925514"/>
    <w:rPr>
      <w:b/>
      <w:bCs/>
    </w:rPr>
  </w:style>
  <w:style w:type="paragraph" w:customStyle="1" w:styleId="Default">
    <w:name w:val="Default"/>
    <w:rsid w:val="00E26D51"/>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Balloon Text"/>
    <w:basedOn w:val="a"/>
    <w:link w:val="aa"/>
    <w:uiPriority w:val="99"/>
    <w:semiHidden/>
    <w:unhideWhenUsed/>
    <w:rsid w:val="007B398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B3984"/>
    <w:rPr>
      <w:rFonts w:ascii="Tahoma" w:hAnsi="Tahoma" w:cs="Tahoma"/>
      <w:sz w:val="16"/>
      <w:szCs w:val="16"/>
    </w:rPr>
  </w:style>
  <w:style w:type="character" w:customStyle="1" w:styleId="a5">
    <w:name w:val="Без интервала Знак"/>
    <w:aliases w:val="TNR 14 Знак"/>
    <w:link w:val="a3"/>
    <w:uiPriority w:val="1"/>
    <w:locked/>
    <w:rsid w:val="007B3984"/>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1757615">
      <w:bodyDiv w:val="1"/>
      <w:marLeft w:val="0"/>
      <w:marRight w:val="0"/>
      <w:marTop w:val="0"/>
      <w:marBottom w:val="0"/>
      <w:divBdr>
        <w:top w:val="none" w:sz="0" w:space="0" w:color="auto"/>
        <w:left w:val="none" w:sz="0" w:space="0" w:color="auto"/>
        <w:bottom w:val="none" w:sz="0" w:space="0" w:color="auto"/>
        <w:right w:val="none" w:sz="0" w:space="0" w:color="auto"/>
      </w:divBdr>
    </w:div>
    <w:div w:id="345449309">
      <w:bodyDiv w:val="1"/>
      <w:marLeft w:val="0"/>
      <w:marRight w:val="0"/>
      <w:marTop w:val="0"/>
      <w:marBottom w:val="0"/>
      <w:divBdr>
        <w:top w:val="none" w:sz="0" w:space="0" w:color="auto"/>
        <w:left w:val="none" w:sz="0" w:space="0" w:color="auto"/>
        <w:bottom w:val="none" w:sz="0" w:space="0" w:color="auto"/>
        <w:right w:val="none" w:sz="0" w:space="0" w:color="auto"/>
      </w:divBdr>
    </w:div>
    <w:div w:id="909466235">
      <w:bodyDiv w:val="1"/>
      <w:marLeft w:val="0"/>
      <w:marRight w:val="0"/>
      <w:marTop w:val="0"/>
      <w:marBottom w:val="0"/>
      <w:divBdr>
        <w:top w:val="none" w:sz="0" w:space="0" w:color="auto"/>
        <w:left w:val="none" w:sz="0" w:space="0" w:color="auto"/>
        <w:bottom w:val="none" w:sz="0" w:space="0" w:color="auto"/>
        <w:right w:val="none" w:sz="0" w:space="0" w:color="auto"/>
      </w:divBdr>
    </w:div>
    <w:div w:id="1168905394">
      <w:bodyDiv w:val="1"/>
      <w:marLeft w:val="0"/>
      <w:marRight w:val="0"/>
      <w:marTop w:val="0"/>
      <w:marBottom w:val="0"/>
      <w:divBdr>
        <w:top w:val="none" w:sz="0" w:space="0" w:color="auto"/>
        <w:left w:val="none" w:sz="0" w:space="0" w:color="auto"/>
        <w:bottom w:val="none" w:sz="0" w:space="0" w:color="auto"/>
        <w:right w:val="none" w:sz="0" w:space="0" w:color="auto"/>
      </w:divBdr>
    </w:div>
    <w:div w:id="1245458331">
      <w:bodyDiv w:val="1"/>
      <w:marLeft w:val="0"/>
      <w:marRight w:val="0"/>
      <w:marTop w:val="0"/>
      <w:marBottom w:val="0"/>
      <w:divBdr>
        <w:top w:val="none" w:sz="0" w:space="0" w:color="auto"/>
        <w:left w:val="none" w:sz="0" w:space="0" w:color="auto"/>
        <w:bottom w:val="none" w:sz="0" w:space="0" w:color="auto"/>
        <w:right w:val="none" w:sz="0" w:space="0" w:color="auto"/>
      </w:divBdr>
    </w:div>
    <w:div w:id="1468429872">
      <w:bodyDiv w:val="1"/>
      <w:marLeft w:val="0"/>
      <w:marRight w:val="0"/>
      <w:marTop w:val="0"/>
      <w:marBottom w:val="0"/>
      <w:divBdr>
        <w:top w:val="none" w:sz="0" w:space="0" w:color="auto"/>
        <w:left w:val="none" w:sz="0" w:space="0" w:color="auto"/>
        <w:bottom w:val="none" w:sz="0" w:space="0" w:color="auto"/>
        <w:right w:val="none" w:sz="0" w:space="0" w:color="auto"/>
      </w:divBdr>
    </w:div>
    <w:div w:id="211185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79502\OneDrive\&#1056;&#1072;&#1073;&#1086;&#1095;&#1080;&#1081;%20&#1089;&#1090;&#1086;&#1083;\&#1044;&#1080;&#1089;&#1089;&#1077;&#1088;&#1090;&#1072;&#1094;&#1080;&#1103;\&#1053;&#1072;&#1091;&#1095;&#1085;&#1072;&#1103;%20&#1089;&#1090;&#1072;&#1090;&#1100;&#1103;%20&#1042;&#1040;&#1050;\&#1043;&#1088;&#1072;&#1092;&#1080;&#1082;&#1080;%20&#1076;&#1083;&#1103;%20&#1089;&#1090;&#1072;&#1090;&#1100;&#108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79502\OneDrive\&#1056;&#1072;&#1073;&#1086;&#1095;&#1080;&#1081;%20&#1089;&#1090;&#1086;&#1083;\&#1044;&#1080;&#1089;&#1089;&#1077;&#1088;&#1090;&#1072;&#1094;&#1080;&#1103;\&#1053;&#1072;&#1091;&#1095;&#1085;&#1072;&#1103;%20&#1089;&#1090;&#1072;&#1090;&#1100;&#1103;%20&#1042;&#1040;&#1050;\&#1043;&#1088;&#1072;&#1092;&#1080;&#1082;&#1080;%20&#1076;&#1083;&#1103;%20&#1089;&#1090;&#1072;&#1090;&#1100;&#108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79502\OneDrive\&#1056;&#1072;&#1073;&#1086;&#1095;&#1080;&#1081;%20&#1089;&#1090;&#1086;&#1083;\&#1044;&#1080;&#1089;&#1089;&#1077;&#1088;&#1090;&#1072;&#1094;&#1080;&#1103;\&#1053;&#1072;&#1091;&#1095;&#1085;&#1072;&#1103;%20&#1089;&#1090;&#1072;&#1090;&#1100;&#1103;%20&#1042;&#1040;&#1050;\&#1043;&#1088;&#1072;&#1092;&#1080;&#1082;&#1080;%20&#1076;&#1083;&#1103;%20&#1089;&#1090;&#1072;&#1090;&#1100;&#108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79502\OneDrive\&#1056;&#1072;&#1073;&#1086;&#1095;&#1080;&#1081;%20&#1089;&#1090;&#1086;&#1083;\&#1044;&#1080;&#1089;&#1089;&#1077;&#1088;&#1090;&#1072;&#1094;&#1080;&#1103;\&#1053;&#1072;&#1091;&#1095;&#1085;&#1072;&#1103;%20&#1089;&#1090;&#1072;&#1090;&#1100;&#1103;%20&#1042;&#1040;&#1050;\&#1043;&#1088;&#1072;&#1092;&#1080;&#1082;&#1080;%20&#1076;&#1083;&#1103;%20&#1089;&#1090;&#1072;&#1090;&#1100;&#108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79502\OneDrive\&#1056;&#1072;&#1073;&#1086;&#1095;&#1080;&#1081;%20&#1089;&#1090;&#1086;&#1083;\&#1044;&#1080;&#1089;&#1089;&#1077;&#1088;&#1090;&#1072;&#1094;&#1080;&#1103;\&#1053;&#1072;&#1091;&#1095;&#1085;&#1072;&#1103;%20&#1089;&#1090;&#1072;&#1090;&#1100;&#1103;%20&#1042;&#1040;&#1050;\&#1043;&#1088;&#1072;&#1092;&#1080;&#1082;&#1080;%20&#1076;&#1083;&#1103;%20&#1089;&#1090;&#1072;&#1090;&#1100;&#108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4866885389326335"/>
          <c:y val="5.0925925925925923E-2"/>
          <c:w val="0.62058114610673665"/>
          <c:h val="0.72159922717993585"/>
        </c:manualLayout>
      </c:layout>
      <c:barChart>
        <c:barDir val="bar"/>
        <c:grouping val="clustered"/>
        <c:varyColors val="0"/>
        <c:ser>
          <c:idx val="0"/>
          <c:order val="0"/>
          <c:tx>
            <c:strRef>
              <c:f>Лист1!$D$48</c:f>
              <c:strCache>
                <c:ptCount val="1"/>
                <c:pt idx="0">
                  <c:v>Экспорт</c:v>
                </c:pt>
              </c:strCache>
            </c:strRef>
          </c:tx>
          <c:spPr>
            <a:pattFill prst="pct80">
              <a:fgClr>
                <a:schemeClr val="bg1">
                  <a:lumMod val="50000"/>
                </a:schemeClr>
              </a:fgClr>
              <a:bgClr>
                <a:schemeClr val="bg1"/>
              </a:bgClr>
            </a:pattFill>
          </c:spPr>
          <c:invertIfNegative val="0"/>
          <c:dLbls>
            <c:dLbl>
              <c:idx val="0"/>
              <c:layout>
                <c:manualLayout>
                  <c:x val="-6.6666666666666671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622-4201-A2AD-C7EC846E3EB7}"/>
                </c:ext>
              </c:extLst>
            </c:dLbl>
            <c:dLbl>
              <c:idx val="1"/>
              <c:layout>
                <c:manualLayout>
                  <c:x val="-4.4444444444444444E-3"/>
                  <c:y val="-4.365028939892569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622-4201-A2AD-C7EC846E3EB7}"/>
                </c:ext>
              </c:extLst>
            </c:dLbl>
            <c:dLbl>
              <c:idx val="2"/>
              <c:layout>
                <c:manualLayout>
                  <c:x val="4.4444444444444444E-3"/>
                  <c:y val="9.523809523809524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622-4201-A2AD-C7EC846E3EB7}"/>
                </c:ext>
              </c:extLst>
            </c:dLbl>
            <c:spPr>
              <a:noFill/>
              <a:ln>
                <a:noFill/>
              </a:ln>
              <a:effectLst/>
            </c:spPr>
            <c:txPr>
              <a:bodyPr/>
              <a:lstStyle/>
              <a:p>
                <a:pPr>
                  <a:defRPr sz="900">
                    <a:latin typeface="Times New Roman" panose="02020603050405020304" pitchFamily="18" charset="0"/>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Лист1!$C$49:$C$51</c:f>
              <c:strCache>
                <c:ptCount val="3"/>
                <c:pt idx="0">
                  <c:v>Переводы в рублях, %</c:v>
                </c:pt>
                <c:pt idx="1">
                  <c:v>Переводы в валюте дружественных стран, %</c:v>
                </c:pt>
                <c:pt idx="2">
                  <c:v>Переводы в валюте недружественных стран, %</c:v>
                </c:pt>
              </c:strCache>
            </c:strRef>
          </c:cat>
          <c:val>
            <c:numRef>
              <c:f>Лист1!$D$49:$D$51</c:f>
              <c:numCache>
                <c:formatCode>General</c:formatCode>
                <c:ptCount val="3"/>
                <c:pt idx="0">
                  <c:v>41.3</c:v>
                </c:pt>
                <c:pt idx="1">
                  <c:v>40.200000000000003</c:v>
                </c:pt>
                <c:pt idx="2">
                  <c:v>18.5</c:v>
                </c:pt>
              </c:numCache>
            </c:numRef>
          </c:val>
          <c:extLst>
            <c:ext xmlns:c16="http://schemas.microsoft.com/office/drawing/2014/chart" uri="{C3380CC4-5D6E-409C-BE32-E72D297353CC}">
              <c16:uniqueId val="{00000003-3622-4201-A2AD-C7EC846E3EB7}"/>
            </c:ext>
          </c:extLst>
        </c:ser>
        <c:ser>
          <c:idx val="1"/>
          <c:order val="1"/>
          <c:tx>
            <c:strRef>
              <c:f>Лист1!$E$48</c:f>
              <c:strCache>
                <c:ptCount val="1"/>
                <c:pt idx="0">
                  <c:v>Импорт</c:v>
                </c:pt>
              </c:strCache>
            </c:strRef>
          </c:tx>
          <c:spPr>
            <a:pattFill prst="dkDnDiag">
              <a:fgClr>
                <a:schemeClr val="bg1">
                  <a:lumMod val="50000"/>
                </a:schemeClr>
              </a:fgClr>
              <a:bgClr>
                <a:schemeClr val="bg1"/>
              </a:bgClr>
            </a:pattFill>
            <a:ln>
              <a:solidFill>
                <a:schemeClr val="bg1">
                  <a:lumMod val="50000"/>
                </a:schemeClr>
              </a:solidFill>
            </a:ln>
          </c:spPr>
          <c:invertIfNegative val="0"/>
          <c:dLbls>
            <c:dLbl>
              <c:idx val="0"/>
              <c:layout>
                <c:manualLayout>
                  <c:x val="-2.2222222222222222E-3"/>
                  <c:y val="-1.904761904761904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622-4201-A2AD-C7EC846E3EB7}"/>
                </c:ext>
              </c:extLst>
            </c:dLbl>
            <c:dLbl>
              <c:idx val="1"/>
              <c:layout>
                <c:manualLayout>
                  <c:x val="-2.2222222222222222E-3"/>
                  <c:y val="-1.904761904761909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622-4201-A2AD-C7EC846E3EB7}"/>
                </c:ext>
              </c:extLst>
            </c:dLbl>
            <c:dLbl>
              <c:idx val="2"/>
              <c:layout>
                <c:manualLayout>
                  <c:x val="-6.666666666666747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622-4201-A2AD-C7EC846E3EB7}"/>
                </c:ext>
              </c:extLst>
            </c:dLbl>
            <c:spPr>
              <a:noFill/>
              <a:ln>
                <a:noFill/>
              </a:ln>
              <a:effectLst/>
            </c:spPr>
            <c:txPr>
              <a:bodyPr/>
              <a:lstStyle/>
              <a:p>
                <a:pPr>
                  <a:defRPr sz="900">
                    <a:latin typeface="Times New Roman" panose="02020603050405020304" pitchFamily="18" charset="0"/>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Лист1!$C$49:$C$51</c:f>
              <c:strCache>
                <c:ptCount val="3"/>
                <c:pt idx="0">
                  <c:v>Переводы в рублях, %</c:v>
                </c:pt>
                <c:pt idx="1">
                  <c:v>Переводы в валюте дружественных стран, %</c:v>
                </c:pt>
                <c:pt idx="2">
                  <c:v>Переводы в валюте недружественных стран, %</c:v>
                </c:pt>
              </c:strCache>
            </c:strRef>
          </c:cat>
          <c:val>
            <c:numRef>
              <c:f>Лист1!$E$49:$E$51</c:f>
              <c:numCache>
                <c:formatCode>General</c:formatCode>
                <c:ptCount val="3"/>
                <c:pt idx="0">
                  <c:v>43.3</c:v>
                </c:pt>
                <c:pt idx="1">
                  <c:v>34.700000000000003</c:v>
                </c:pt>
                <c:pt idx="2">
                  <c:v>22</c:v>
                </c:pt>
              </c:numCache>
            </c:numRef>
          </c:val>
          <c:extLst>
            <c:ext xmlns:c16="http://schemas.microsoft.com/office/drawing/2014/chart" uri="{C3380CC4-5D6E-409C-BE32-E72D297353CC}">
              <c16:uniqueId val="{00000007-3622-4201-A2AD-C7EC846E3EB7}"/>
            </c:ext>
          </c:extLst>
        </c:ser>
        <c:dLbls>
          <c:dLblPos val="outEnd"/>
          <c:showLegendKey val="0"/>
          <c:showVal val="1"/>
          <c:showCatName val="0"/>
          <c:showSerName val="0"/>
          <c:showPercent val="0"/>
          <c:showBubbleSize val="0"/>
        </c:dLbls>
        <c:gapWidth val="150"/>
        <c:axId val="286426240"/>
        <c:axId val="286427776"/>
      </c:barChart>
      <c:catAx>
        <c:axId val="286426240"/>
        <c:scaling>
          <c:orientation val="minMax"/>
        </c:scaling>
        <c:delete val="0"/>
        <c:axPos val="l"/>
        <c:numFmt formatCode="General" sourceLinked="0"/>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427776"/>
        <c:crosses val="autoZero"/>
        <c:auto val="1"/>
        <c:lblAlgn val="l"/>
        <c:lblOffset val="100"/>
        <c:noMultiLvlLbl val="0"/>
      </c:catAx>
      <c:valAx>
        <c:axId val="286427776"/>
        <c:scaling>
          <c:orientation val="minMax"/>
        </c:scaling>
        <c:delete val="0"/>
        <c:axPos val="b"/>
        <c:majorGridlines/>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426240"/>
        <c:crosses val="autoZero"/>
        <c:crossBetween val="between"/>
      </c:valAx>
    </c:plotArea>
    <c:legend>
      <c:legendPos val="b"/>
      <c:layout>
        <c:manualLayout>
          <c:xMode val="edge"/>
          <c:yMode val="edge"/>
          <c:x val="3.9434820647419305E-3"/>
          <c:y val="0.90020661032931526"/>
          <c:w val="0.99433525809273837"/>
          <c:h val="9.9793389670684754E-2"/>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Лист1!$C$4</c:f>
              <c:strCache>
                <c:ptCount val="1"/>
                <c:pt idx="0">
                  <c:v>Объем операций, %</c:v>
                </c:pt>
              </c:strCache>
            </c:strRef>
          </c:tx>
          <c:spPr>
            <a:pattFill prst="pct10">
              <a:fgClr>
                <a:schemeClr val="tx1">
                  <a:lumMod val="95000"/>
                  <a:lumOff val="5000"/>
                </a:schemeClr>
              </a:fgClr>
              <a:bgClr>
                <a:schemeClr val="bg1">
                  <a:lumMod val="95000"/>
                </a:schemeClr>
              </a:bgClr>
            </a:pattFill>
            <a:ln w="3175">
              <a:solidFill>
                <a:schemeClr val="bg1">
                  <a:lumMod val="50000"/>
                </a:schemeClr>
              </a:solidFill>
            </a:ln>
          </c:spPr>
          <c:invertIfNegative val="0"/>
          <c:cat>
            <c:numRef>
              <c:f>Лист1!$D$3:$G$3</c:f>
              <c:numCache>
                <c:formatCode>General</c:formatCode>
                <c:ptCount val="4"/>
                <c:pt idx="0">
                  <c:v>2021</c:v>
                </c:pt>
                <c:pt idx="1">
                  <c:v>2022</c:v>
                </c:pt>
                <c:pt idx="2">
                  <c:v>2023</c:v>
                </c:pt>
                <c:pt idx="3">
                  <c:v>2024</c:v>
                </c:pt>
              </c:numCache>
            </c:numRef>
          </c:cat>
          <c:val>
            <c:numRef>
              <c:f>Лист1!$D$4:$G$4</c:f>
              <c:numCache>
                <c:formatCode>General</c:formatCode>
                <c:ptCount val="4"/>
                <c:pt idx="0">
                  <c:v>25.7</c:v>
                </c:pt>
                <c:pt idx="1">
                  <c:v>41.3</c:v>
                </c:pt>
                <c:pt idx="2">
                  <c:v>52.5</c:v>
                </c:pt>
                <c:pt idx="3">
                  <c:v>56</c:v>
                </c:pt>
              </c:numCache>
            </c:numRef>
          </c:val>
          <c:extLst>
            <c:ext xmlns:c16="http://schemas.microsoft.com/office/drawing/2014/chart" uri="{C3380CC4-5D6E-409C-BE32-E72D297353CC}">
              <c16:uniqueId val="{00000000-14F2-4D40-B7FB-946C2CF60D93}"/>
            </c:ext>
          </c:extLst>
        </c:ser>
        <c:ser>
          <c:idx val="1"/>
          <c:order val="1"/>
          <c:tx>
            <c:strRef>
              <c:f>Лист1!$C$5</c:f>
              <c:strCache>
                <c:ptCount val="1"/>
                <c:pt idx="0">
                  <c:v>Эмиссия карт, %</c:v>
                </c:pt>
              </c:strCache>
            </c:strRef>
          </c:tx>
          <c:spPr>
            <a:pattFill prst="ltUpDiag">
              <a:fgClr>
                <a:schemeClr val="tx1">
                  <a:lumMod val="95000"/>
                  <a:lumOff val="5000"/>
                </a:schemeClr>
              </a:fgClr>
              <a:bgClr>
                <a:schemeClr val="bg1">
                  <a:lumMod val="75000"/>
                </a:schemeClr>
              </a:bgClr>
            </a:pattFill>
            <a:ln w="3175">
              <a:solidFill>
                <a:schemeClr val="bg1">
                  <a:lumMod val="50000"/>
                </a:schemeClr>
              </a:solidFill>
            </a:ln>
          </c:spPr>
          <c:invertIfNegative val="0"/>
          <c:cat>
            <c:numRef>
              <c:f>Лист1!$D$3:$G$3</c:f>
              <c:numCache>
                <c:formatCode>General</c:formatCode>
                <c:ptCount val="4"/>
                <c:pt idx="0">
                  <c:v>2021</c:v>
                </c:pt>
                <c:pt idx="1">
                  <c:v>2022</c:v>
                </c:pt>
                <c:pt idx="2">
                  <c:v>2023</c:v>
                </c:pt>
                <c:pt idx="3">
                  <c:v>2024</c:v>
                </c:pt>
              </c:numCache>
            </c:numRef>
          </c:cat>
          <c:val>
            <c:numRef>
              <c:f>Лист1!$D$5:$G$5</c:f>
              <c:numCache>
                <c:formatCode>General</c:formatCode>
                <c:ptCount val="4"/>
                <c:pt idx="0">
                  <c:v>32.5</c:v>
                </c:pt>
                <c:pt idx="1">
                  <c:v>41.2</c:v>
                </c:pt>
                <c:pt idx="2">
                  <c:v>55</c:v>
                </c:pt>
                <c:pt idx="3">
                  <c:v>64</c:v>
                </c:pt>
              </c:numCache>
            </c:numRef>
          </c:val>
          <c:extLst>
            <c:ext xmlns:c16="http://schemas.microsoft.com/office/drawing/2014/chart" uri="{C3380CC4-5D6E-409C-BE32-E72D297353CC}">
              <c16:uniqueId val="{00000001-14F2-4D40-B7FB-946C2CF60D93}"/>
            </c:ext>
          </c:extLst>
        </c:ser>
        <c:ser>
          <c:idx val="2"/>
          <c:order val="2"/>
          <c:tx>
            <c:strRef>
              <c:f>Лист1!$C$6</c:f>
              <c:strCache>
                <c:ptCount val="1"/>
                <c:pt idx="0">
                  <c:v>Всего выпущено карт, млн</c:v>
                </c:pt>
              </c:strCache>
            </c:strRef>
          </c:tx>
          <c:spPr>
            <a:noFill/>
            <a:ln>
              <a:noFill/>
            </a:ln>
          </c:spPr>
          <c:invertIfNegative val="0"/>
          <c:cat>
            <c:numRef>
              <c:f>Лист1!$D$3:$G$3</c:f>
              <c:numCache>
                <c:formatCode>General</c:formatCode>
                <c:ptCount val="4"/>
                <c:pt idx="0">
                  <c:v>2021</c:v>
                </c:pt>
                <c:pt idx="1">
                  <c:v>2022</c:v>
                </c:pt>
                <c:pt idx="2">
                  <c:v>2023</c:v>
                </c:pt>
                <c:pt idx="3">
                  <c:v>2024</c:v>
                </c:pt>
              </c:numCache>
            </c:numRef>
          </c:cat>
          <c:val>
            <c:numRef>
              <c:f>Лист1!$D$6:$G$6</c:f>
              <c:numCache>
                <c:formatCode>General</c:formatCode>
                <c:ptCount val="4"/>
                <c:pt idx="0">
                  <c:v>113.6</c:v>
                </c:pt>
                <c:pt idx="1">
                  <c:v>182.3</c:v>
                </c:pt>
                <c:pt idx="2">
                  <c:v>287.3</c:v>
                </c:pt>
                <c:pt idx="3">
                  <c:v>400.6</c:v>
                </c:pt>
              </c:numCache>
            </c:numRef>
          </c:val>
          <c:extLst>
            <c:ext xmlns:c16="http://schemas.microsoft.com/office/drawing/2014/chart" uri="{C3380CC4-5D6E-409C-BE32-E72D297353CC}">
              <c16:uniqueId val="{00000002-14F2-4D40-B7FB-946C2CF60D93}"/>
            </c:ext>
          </c:extLst>
        </c:ser>
        <c:dLbls>
          <c:showLegendKey val="0"/>
          <c:showVal val="0"/>
          <c:showCatName val="0"/>
          <c:showSerName val="0"/>
          <c:showPercent val="0"/>
          <c:showBubbleSize val="0"/>
        </c:dLbls>
        <c:gapWidth val="150"/>
        <c:axId val="286556160"/>
        <c:axId val="286557696"/>
      </c:barChart>
      <c:catAx>
        <c:axId val="286556160"/>
        <c:scaling>
          <c:orientation val="minMax"/>
        </c:scaling>
        <c:delete val="0"/>
        <c:axPos val="b"/>
        <c:numFmt formatCode="General" sourceLinked="1"/>
        <c:majorTickMark val="none"/>
        <c:minorTickMark val="none"/>
        <c:tickLblPos val="nextTo"/>
        <c:crossAx val="286557696"/>
        <c:crosses val="autoZero"/>
        <c:auto val="1"/>
        <c:lblAlgn val="ctr"/>
        <c:lblOffset val="100"/>
        <c:noMultiLvlLbl val="0"/>
      </c:catAx>
      <c:valAx>
        <c:axId val="286557696"/>
        <c:scaling>
          <c:orientation val="minMax"/>
          <c:max val="80"/>
        </c:scaling>
        <c:delete val="0"/>
        <c:axPos val="l"/>
        <c:majorGridlines/>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556160"/>
        <c:crosses val="autoZero"/>
        <c:crossBetween val="between"/>
        <c:majorUnit val="10"/>
      </c:valAx>
      <c:dTable>
        <c:showHorzBorder val="1"/>
        <c:showVertBorder val="1"/>
        <c:showOutline val="1"/>
        <c:showKeys val="1"/>
        <c:txPr>
          <a:bodyPr/>
          <a:lstStyle/>
          <a:p>
            <a:pPr rtl="0">
              <a:defRPr>
                <a:latin typeface="Times New Roman" panose="02020603050405020304" pitchFamily="18" charset="0"/>
                <a:cs typeface="Times New Roman" panose="02020603050405020304" pitchFamily="18" charset="0"/>
              </a:defRPr>
            </a:pPr>
            <a:endParaRPr lang="ru-RU"/>
          </a:p>
        </c:txPr>
      </c:dTable>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3303735969174069E-2"/>
          <c:y val="6.006006006006006E-2"/>
          <c:w val="0.90305560209229163"/>
          <c:h val="0.64354945496677785"/>
        </c:manualLayout>
      </c:layout>
      <c:lineChart>
        <c:grouping val="stacked"/>
        <c:varyColors val="0"/>
        <c:ser>
          <c:idx val="0"/>
          <c:order val="0"/>
          <c:tx>
            <c:strRef>
              <c:f>Лист1!$C$10</c:f>
              <c:strCache>
                <c:ptCount val="1"/>
                <c:pt idx="0">
                  <c:v>Платежи наличными, %</c:v>
                </c:pt>
              </c:strCache>
            </c:strRef>
          </c:tx>
          <c:spPr>
            <a:ln>
              <a:solidFill>
                <a:schemeClr val="bg1">
                  <a:lumMod val="50000"/>
                </a:schemeClr>
              </a:solidFill>
            </a:ln>
          </c:spPr>
          <c:marker>
            <c:symbol val="diamond"/>
            <c:size val="7"/>
            <c:spPr>
              <a:solidFill>
                <a:schemeClr val="bg1">
                  <a:lumMod val="50000"/>
                </a:schemeClr>
              </a:solidFill>
              <a:ln>
                <a:solidFill>
                  <a:schemeClr val="bg1">
                    <a:lumMod val="50000"/>
                  </a:schemeClr>
                </a:solidFill>
              </a:ln>
            </c:spPr>
          </c:marker>
          <c:dLbls>
            <c:dLbl>
              <c:idx val="2"/>
              <c:layout>
                <c:manualLayout>
                  <c:x val="-3.4278959810874705E-2"/>
                  <c:y val="9.572072072072071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705-4575-B277-60DD43192971}"/>
                </c:ext>
              </c:extLst>
            </c:dLbl>
            <c:dLbl>
              <c:idx val="3"/>
              <c:layout>
                <c:manualLayout>
                  <c:x val="-3.4278959810874705E-2"/>
                  <c:y val="8.070570570570570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705-4575-B277-60DD43192971}"/>
                </c:ext>
              </c:extLst>
            </c:dLbl>
            <c:spPr>
              <a:noFill/>
              <a:ln>
                <a:noFill/>
              </a:ln>
              <a:effectLst/>
            </c:spPr>
            <c:txPr>
              <a:bodyPr/>
              <a:lstStyle/>
              <a:p>
                <a:pPr>
                  <a:defRPr sz="1000">
                    <a:latin typeface="Times New Roman" panose="02020603050405020304" pitchFamily="18" charset="0"/>
                    <a:cs typeface="Times New Roman" panose="02020603050405020304" pitchFamily="18" charset="0"/>
                  </a:defRPr>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Лист1!$D$9:$G$9</c:f>
              <c:numCache>
                <c:formatCode>General</c:formatCode>
                <c:ptCount val="4"/>
                <c:pt idx="0">
                  <c:v>2021</c:v>
                </c:pt>
                <c:pt idx="1">
                  <c:v>2022</c:v>
                </c:pt>
                <c:pt idx="2">
                  <c:v>2023</c:v>
                </c:pt>
                <c:pt idx="3">
                  <c:v>2024</c:v>
                </c:pt>
              </c:numCache>
            </c:numRef>
          </c:cat>
          <c:val>
            <c:numRef>
              <c:f>Лист1!$D$10:$G$10</c:f>
              <c:numCache>
                <c:formatCode>General</c:formatCode>
                <c:ptCount val="4"/>
                <c:pt idx="0">
                  <c:v>25</c:v>
                </c:pt>
                <c:pt idx="1">
                  <c:v>22</c:v>
                </c:pt>
                <c:pt idx="2">
                  <c:v>17</c:v>
                </c:pt>
                <c:pt idx="3">
                  <c:v>14</c:v>
                </c:pt>
              </c:numCache>
            </c:numRef>
          </c:val>
          <c:smooth val="0"/>
          <c:extLst>
            <c:ext xmlns:c16="http://schemas.microsoft.com/office/drawing/2014/chart" uri="{C3380CC4-5D6E-409C-BE32-E72D297353CC}">
              <c16:uniqueId val="{00000002-4705-4575-B277-60DD43192971}"/>
            </c:ext>
          </c:extLst>
        </c:ser>
        <c:ser>
          <c:idx val="1"/>
          <c:order val="1"/>
          <c:tx>
            <c:strRef>
              <c:f>Лист1!$C$11</c:f>
              <c:strCache>
                <c:ptCount val="1"/>
                <c:pt idx="0">
                  <c:v>Безналичные платежи, %</c:v>
                </c:pt>
              </c:strCache>
            </c:strRef>
          </c:tx>
          <c:spPr>
            <a:ln>
              <a:solidFill>
                <a:schemeClr val="tx1"/>
              </a:solidFill>
            </a:ln>
          </c:spPr>
          <c:marker>
            <c:symbol val="circle"/>
            <c:size val="7"/>
            <c:spPr>
              <a:solidFill>
                <a:schemeClr val="tx1">
                  <a:lumMod val="95000"/>
                  <a:lumOff val="5000"/>
                </a:schemeClr>
              </a:solidFill>
              <a:ln>
                <a:solidFill>
                  <a:schemeClr val="tx1"/>
                </a:solidFill>
              </a:ln>
            </c:spPr>
          </c:marker>
          <c:dLbls>
            <c:spPr>
              <a:noFill/>
              <a:ln>
                <a:noFill/>
              </a:ln>
              <a:effectLst/>
            </c:spPr>
            <c:txPr>
              <a:bodyPr/>
              <a:lstStyle/>
              <a:p>
                <a:pPr>
                  <a:defRPr>
                    <a:latin typeface="Times New Roman" panose="02020603050405020304" pitchFamily="18" charset="0"/>
                    <a:cs typeface="Times New Roman" panose="02020603050405020304" pitchFamily="18" charset="0"/>
                  </a:defRPr>
                </a:pPr>
                <a:endParaRPr lang="ru-RU"/>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Лист1!$D$9:$G$9</c:f>
              <c:numCache>
                <c:formatCode>General</c:formatCode>
                <c:ptCount val="4"/>
                <c:pt idx="0">
                  <c:v>2021</c:v>
                </c:pt>
                <c:pt idx="1">
                  <c:v>2022</c:v>
                </c:pt>
                <c:pt idx="2">
                  <c:v>2023</c:v>
                </c:pt>
                <c:pt idx="3">
                  <c:v>2024</c:v>
                </c:pt>
              </c:numCache>
            </c:numRef>
          </c:cat>
          <c:val>
            <c:numRef>
              <c:f>Лист1!$D$11:$G$11</c:f>
              <c:numCache>
                <c:formatCode>General</c:formatCode>
                <c:ptCount val="4"/>
                <c:pt idx="0">
                  <c:v>74</c:v>
                </c:pt>
                <c:pt idx="1">
                  <c:v>78</c:v>
                </c:pt>
                <c:pt idx="2">
                  <c:v>83</c:v>
                </c:pt>
                <c:pt idx="3">
                  <c:v>85</c:v>
                </c:pt>
              </c:numCache>
            </c:numRef>
          </c:val>
          <c:smooth val="0"/>
          <c:extLst>
            <c:ext xmlns:c16="http://schemas.microsoft.com/office/drawing/2014/chart" uri="{C3380CC4-5D6E-409C-BE32-E72D297353CC}">
              <c16:uniqueId val="{00000003-4705-4575-B277-60DD43192971}"/>
            </c:ext>
          </c:extLst>
        </c:ser>
        <c:dLbls>
          <c:showLegendKey val="0"/>
          <c:showVal val="0"/>
          <c:showCatName val="0"/>
          <c:showSerName val="0"/>
          <c:showPercent val="0"/>
          <c:showBubbleSize val="0"/>
        </c:dLbls>
        <c:hiLowLines>
          <c:spPr>
            <a:ln>
              <a:solidFill>
                <a:schemeClr val="bg1">
                  <a:lumMod val="50000"/>
                </a:schemeClr>
              </a:solidFill>
            </a:ln>
          </c:spPr>
        </c:hiLowLines>
        <c:marker val="1"/>
        <c:smooth val="0"/>
        <c:axId val="286581120"/>
        <c:axId val="286582656"/>
      </c:lineChart>
      <c:catAx>
        <c:axId val="286581120"/>
        <c:scaling>
          <c:orientation val="minMax"/>
        </c:scaling>
        <c:delete val="0"/>
        <c:axPos val="b"/>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582656"/>
        <c:crosses val="autoZero"/>
        <c:auto val="1"/>
        <c:lblAlgn val="ctr"/>
        <c:lblOffset val="100"/>
        <c:noMultiLvlLbl val="0"/>
      </c:catAx>
      <c:valAx>
        <c:axId val="286582656"/>
        <c:scaling>
          <c:orientation val="minMax"/>
          <c:max val="100"/>
          <c:min val="5"/>
        </c:scaling>
        <c:delete val="0"/>
        <c:axPos val="l"/>
        <c:majorGridlines/>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581120"/>
        <c:crosses val="autoZero"/>
        <c:crossBetween val="between"/>
        <c:majorUnit val="20"/>
      </c:valAx>
    </c:plotArea>
    <c:legend>
      <c:legendPos val="b"/>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Лист1!$C$20</c:f>
              <c:strCache>
                <c:ptCount val="1"/>
                <c:pt idx="0">
                  <c:v>Платежи физ. лиц, млрд операций</c:v>
                </c:pt>
              </c:strCache>
            </c:strRef>
          </c:tx>
          <c:spPr>
            <a:pattFill prst="dkDnDiag">
              <a:fgClr>
                <a:schemeClr val="bg1">
                  <a:lumMod val="50000"/>
                </a:schemeClr>
              </a:fgClr>
              <a:bgClr>
                <a:schemeClr val="bg1"/>
              </a:bgClr>
            </a:pattFill>
            <a:ln>
              <a:solidFill>
                <a:schemeClr val="bg1">
                  <a:lumMod val="65000"/>
                </a:schemeClr>
              </a:solidFill>
            </a:ln>
          </c:spPr>
          <c:invertIfNegative val="0"/>
          <c:dLbls>
            <c:dLbl>
              <c:idx val="0"/>
              <c:layout>
                <c:manualLayout>
                  <c:x val="0"/>
                  <c:y val="1.199040767386091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46E-46C0-8C48-B623BB19F5B1}"/>
                </c:ext>
              </c:extLst>
            </c:dLbl>
            <c:dLbl>
              <c:idx val="1"/>
              <c:layout>
                <c:manualLayout>
                  <c:x val="0"/>
                  <c:y val="1.798561151079136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46E-46C0-8C48-B623BB19F5B1}"/>
                </c:ext>
              </c:extLst>
            </c:dLbl>
            <c:dLbl>
              <c:idx val="2"/>
              <c:layout>
                <c:manualLayout>
                  <c:x val="0"/>
                  <c:y val="-1.798561151079136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46E-46C0-8C48-B623BB19F5B1}"/>
                </c:ext>
              </c:extLst>
            </c:dLbl>
            <c:dLbl>
              <c:idx val="3"/>
              <c:layout>
                <c:manualLayout>
                  <c:x val="-2.4654832347139138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46E-46C0-8C48-B623BB19F5B1}"/>
                </c:ext>
              </c:extLst>
            </c:dLbl>
            <c:spPr>
              <a:noFill/>
              <a:ln>
                <a:noFill/>
              </a:ln>
              <a:effectLst/>
            </c:spPr>
            <c:txPr>
              <a:bodyPr/>
              <a:lstStyle/>
              <a:p>
                <a:pPr>
                  <a:defRPr>
                    <a:latin typeface="Times New Roman" panose="02020603050405020304" pitchFamily="18" charset="0"/>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Лист1!$D$19:$G$19</c:f>
              <c:numCache>
                <c:formatCode>General</c:formatCode>
                <c:ptCount val="4"/>
                <c:pt idx="0">
                  <c:v>2021</c:v>
                </c:pt>
                <c:pt idx="1">
                  <c:v>2022</c:v>
                </c:pt>
                <c:pt idx="2">
                  <c:v>2023</c:v>
                </c:pt>
                <c:pt idx="3">
                  <c:v>2024</c:v>
                </c:pt>
              </c:numCache>
            </c:numRef>
          </c:cat>
          <c:val>
            <c:numRef>
              <c:f>Лист1!$D$20:$G$20</c:f>
              <c:numCache>
                <c:formatCode>General</c:formatCode>
                <c:ptCount val="4"/>
                <c:pt idx="0">
                  <c:v>0.9</c:v>
                </c:pt>
                <c:pt idx="1">
                  <c:v>2.7</c:v>
                </c:pt>
                <c:pt idx="2">
                  <c:v>5.5</c:v>
                </c:pt>
                <c:pt idx="3">
                  <c:v>9.5</c:v>
                </c:pt>
              </c:numCache>
            </c:numRef>
          </c:val>
          <c:extLst>
            <c:ext xmlns:c16="http://schemas.microsoft.com/office/drawing/2014/chart" uri="{C3380CC4-5D6E-409C-BE32-E72D297353CC}">
              <c16:uniqueId val="{00000004-C46E-46C0-8C48-B623BB19F5B1}"/>
            </c:ext>
          </c:extLst>
        </c:ser>
        <c:ser>
          <c:idx val="1"/>
          <c:order val="1"/>
          <c:tx>
            <c:strRef>
              <c:f>Лист1!$C$21</c:f>
              <c:strCache>
                <c:ptCount val="1"/>
                <c:pt idx="0">
                  <c:v>Оплата товаров и услуг, млрд операций</c:v>
                </c:pt>
              </c:strCache>
            </c:strRef>
          </c:tx>
          <c:spPr>
            <a:pattFill prst="pct80">
              <a:fgClr>
                <a:schemeClr val="bg1">
                  <a:lumMod val="50000"/>
                </a:schemeClr>
              </a:fgClr>
              <a:bgClr>
                <a:schemeClr val="bg1"/>
              </a:bgClr>
            </a:pattFill>
          </c:spPr>
          <c:invertIfNegative val="0"/>
          <c:dLbls>
            <c:dLbl>
              <c:idx val="0"/>
              <c:layout>
                <c:manualLayout>
                  <c:x val="0"/>
                  <c:y val="1.388888888888880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46E-46C0-8C48-B623BB19F5B1}"/>
                </c:ext>
              </c:extLst>
            </c:dLbl>
            <c:dLbl>
              <c:idx val="1"/>
              <c:layout>
                <c:manualLayout>
                  <c:x val="0"/>
                  <c:y val="-1.851851851851851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46E-46C0-8C48-B623BB19F5B1}"/>
                </c:ext>
              </c:extLst>
            </c:dLbl>
            <c:spPr>
              <a:noFill/>
              <a:ln>
                <a:noFill/>
              </a:ln>
              <a:effectLst/>
            </c:spPr>
            <c:txPr>
              <a:bodyPr/>
              <a:lstStyle/>
              <a:p>
                <a:pPr>
                  <a:defRPr>
                    <a:latin typeface="Times New Roman" panose="02020603050405020304" pitchFamily="18" charset="0"/>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Лист1!$D$19:$G$19</c:f>
              <c:numCache>
                <c:formatCode>General</c:formatCode>
                <c:ptCount val="4"/>
                <c:pt idx="0">
                  <c:v>2021</c:v>
                </c:pt>
                <c:pt idx="1">
                  <c:v>2022</c:v>
                </c:pt>
                <c:pt idx="2">
                  <c:v>2023</c:v>
                </c:pt>
                <c:pt idx="3">
                  <c:v>2024</c:v>
                </c:pt>
              </c:numCache>
            </c:numRef>
          </c:cat>
          <c:val>
            <c:numRef>
              <c:f>Лист1!$D$21:$G$21</c:f>
              <c:numCache>
                <c:formatCode>General</c:formatCode>
                <c:ptCount val="4"/>
                <c:pt idx="0">
                  <c:v>0.01</c:v>
                </c:pt>
                <c:pt idx="1">
                  <c:v>0.4</c:v>
                </c:pt>
                <c:pt idx="2">
                  <c:v>1.6</c:v>
                </c:pt>
                <c:pt idx="3">
                  <c:v>3.7</c:v>
                </c:pt>
              </c:numCache>
            </c:numRef>
          </c:val>
          <c:extLst>
            <c:ext xmlns:c16="http://schemas.microsoft.com/office/drawing/2014/chart" uri="{C3380CC4-5D6E-409C-BE32-E72D297353CC}">
              <c16:uniqueId val="{00000007-C46E-46C0-8C48-B623BB19F5B1}"/>
            </c:ext>
          </c:extLst>
        </c:ser>
        <c:dLbls>
          <c:showLegendKey val="0"/>
          <c:showVal val="0"/>
          <c:showCatName val="0"/>
          <c:showSerName val="0"/>
          <c:showPercent val="0"/>
          <c:showBubbleSize val="0"/>
        </c:dLbls>
        <c:gapWidth val="150"/>
        <c:axId val="286727168"/>
        <c:axId val="286737152"/>
      </c:barChart>
      <c:catAx>
        <c:axId val="286727168"/>
        <c:scaling>
          <c:orientation val="minMax"/>
        </c:scaling>
        <c:delete val="0"/>
        <c:axPos val="b"/>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737152"/>
        <c:crosses val="autoZero"/>
        <c:auto val="1"/>
        <c:lblAlgn val="ctr"/>
        <c:lblOffset val="100"/>
        <c:noMultiLvlLbl val="0"/>
      </c:catAx>
      <c:valAx>
        <c:axId val="286737152"/>
        <c:scaling>
          <c:orientation val="minMax"/>
        </c:scaling>
        <c:delete val="0"/>
        <c:axPos val="l"/>
        <c:majorGridlines/>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727168"/>
        <c:crosses val="autoZero"/>
        <c:crossBetween val="between"/>
      </c:valAx>
    </c:plotArea>
    <c:legend>
      <c:legendPos val="b"/>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Лист1!$C$43</c:f>
              <c:strCache>
                <c:ptCount val="1"/>
                <c:pt idx="0">
                  <c:v>Всего юридических лиц, млн ед</c:v>
                </c:pt>
              </c:strCache>
            </c:strRef>
          </c:tx>
          <c:spPr>
            <a:pattFill prst="wdUpDiag">
              <a:fgClr>
                <a:schemeClr val="bg1">
                  <a:lumMod val="50000"/>
                </a:schemeClr>
              </a:fgClr>
              <a:bgClr>
                <a:schemeClr val="bg1"/>
              </a:bgClr>
            </a:pattFill>
            <a:ln>
              <a:solidFill>
                <a:schemeClr val="bg1">
                  <a:lumMod val="75000"/>
                </a:schemeClr>
              </a:solidFill>
            </a:ln>
          </c:spPr>
          <c:invertIfNegative val="0"/>
          <c:dLbls>
            <c:dLbl>
              <c:idx val="0"/>
              <c:layout>
                <c:manualLayout>
                  <c:x val="0"/>
                  <c:y val="3.87596899224806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950-493B-9608-8CC172AECA31}"/>
                </c:ext>
              </c:extLst>
            </c:dLbl>
            <c:dLbl>
              <c:idx val="1"/>
              <c:layout>
                <c:manualLayout>
                  <c:x val="-2.6371308016877636E-3"/>
                  <c:y val="2.325581395348837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950-493B-9608-8CC172AECA31}"/>
                </c:ext>
              </c:extLst>
            </c:dLbl>
            <c:dLbl>
              <c:idx val="2"/>
              <c:layout>
                <c:manualLayout>
                  <c:x val="0"/>
                  <c:y val="7.751937984496123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950-493B-9608-8CC172AECA31}"/>
                </c:ext>
              </c:extLst>
            </c:dLbl>
            <c:dLbl>
              <c:idx val="3"/>
              <c:layout>
                <c:manualLayout>
                  <c:x val="9.6693679048253113E-17"/>
                  <c:y val="3.87596899224806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950-493B-9608-8CC172AECA31}"/>
                </c:ext>
              </c:extLst>
            </c:dLbl>
            <c:spPr>
              <a:noFill/>
              <a:ln>
                <a:noFill/>
              </a:ln>
              <a:effectLst/>
            </c:spPr>
            <c:txPr>
              <a:bodyPr/>
              <a:lstStyle/>
              <a:p>
                <a:pPr>
                  <a:defRPr>
                    <a:latin typeface="Times New Roman" panose="02020603050405020304" pitchFamily="18" charset="0"/>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Лист1!$D$42:$G$42</c:f>
              <c:numCache>
                <c:formatCode>General</c:formatCode>
                <c:ptCount val="4"/>
                <c:pt idx="0">
                  <c:v>2021</c:v>
                </c:pt>
                <c:pt idx="1">
                  <c:v>2022</c:v>
                </c:pt>
                <c:pt idx="2">
                  <c:v>2023</c:v>
                </c:pt>
                <c:pt idx="3">
                  <c:v>2024</c:v>
                </c:pt>
              </c:numCache>
            </c:numRef>
          </c:cat>
          <c:val>
            <c:numRef>
              <c:f>Лист1!$D$43:$G$43</c:f>
              <c:numCache>
                <c:formatCode>General</c:formatCode>
                <c:ptCount val="4"/>
                <c:pt idx="0">
                  <c:v>0.17</c:v>
                </c:pt>
                <c:pt idx="1">
                  <c:v>0.6</c:v>
                </c:pt>
                <c:pt idx="2">
                  <c:v>1.5</c:v>
                </c:pt>
                <c:pt idx="3">
                  <c:v>2.2000000000000002</c:v>
                </c:pt>
              </c:numCache>
            </c:numRef>
          </c:val>
          <c:extLst>
            <c:ext xmlns:c16="http://schemas.microsoft.com/office/drawing/2014/chart" uri="{C3380CC4-5D6E-409C-BE32-E72D297353CC}">
              <c16:uniqueId val="{00000004-9950-493B-9608-8CC172AECA31}"/>
            </c:ext>
          </c:extLst>
        </c:ser>
        <c:dLbls>
          <c:showLegendKey val="0"/>
          <c:showVal val="0"/>
          <c:showCatName val="0"/>
          <c:showSerName val="0"/>
          <c:showPercent val="0"/>
          <c:showBubbleSize val="0"/>
        </c:dLbls>
        <c:gapWidth val="150"/>
        <c:axId val="286769920"/>
        <c:axId val="286771456"/>
      </c:barChart>
      <c:catAx>
        <c:axId val="286769920"/>
        <c:scaling>
          <c:orientation val="minMax"/>
        </c:scaling>
        <c:delete val="0"/>
        <c:axPos val="b"/>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286771456"/>
        <c:crosses val="autoZero"/>
        <c:auto val="1"/>
        <c:lblAlgn val="ctr"/>
        <c:lblOffset val="100"/>
        <c:noMultiLvlLbl val="0"/>
      </c:catAx>
      <c:valAx>
        <c:axId val="286771456"/>
        <c:scaling>
          <c:orientation val="minMax"/>
        </c:scaling>
        <c:delete val="0"/>
        <c:axPos val="l"/>
        <c:majorGridlines/>
        <c:numFmt formatCode="General" sourceLinked="1"/>
        <c:majorTickMark val="out"/>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ru-RU"/>
          </a:p>
        </c:txPr>
        <c:crossAx val="286769920"/>
        <c:crosses val="autoZero"/>
        <c:crossBetween val="between"/>
      </c:valAx>
    </c:plotArea>
    <c:legend>
      <c:legendPos val="b"/>
      <c:overlay val="0"/>
      <c:txPr>
        <a:bodyPr/>
        <a:lstStyle/>
        <a:p>
          <a:pPr rtl="0">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4265</Words>
  <Characters>24313</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Бутич Фёдор</dc:creator>
  <cp:keywords/>
  <dc:description/>
  <cp:lastModifiedBy>Татьяна Бубновская</cp:lastModifiedBy>
  <cp:revision>2</cp:revision>
  <dcterms:created xsi:type="dcterms:W3CDTF">2025-06-09T10:32:00Z</dcterms:created>
  <dcterms:modified xsi:type="dcterms:W3CDTF">2025-06-09T10:32:00Z</dcterms:modified>
</cp:coreProperties>
</file>