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D7F1EC" w14:textId="5085B197" w:rsidR="00B77EAD" w:rsidRPr="00B77EAD" w:rsidRDefault="00B77EAD" w:rsidP="00B77EAD">
      <w:pPr>
        <w:suppressAutoHyphens/>
        <w:autoSpaceDE/>
        <w:autoSpaceDN/>
        <w:adjustRightInd/>
        <w:rPr>
          <w:bCs/>
          <w:sz w:val="22"/>
          <w:szCs w:val="22"/>
          <w:lang w:val="x-none"/>
        </w:rPr>
      </w:pPr>
      <w:bookmarkStart w:id="0" w:name="_GoBack"/>
      <w:bookmarkEnd w:id="0"/>
      <w:r w:rsidRPr="00B77EAD">
        <w:rPr>
          <w:bCs/>
          <w:sz w:val="22"/>
          <w:szCs w:val="22"/>
          <w:lang w:val="x-none"/>
        </w:rPr>
        <w:t xml:space="preserve">УДК </w:t>
      </w:r>
      <w:r w:rsidR="002E7F50">
        <w:rPr>
          <w:bCs/>
          <w:sz w:val="22"/>
          <w:szCs w:val="22"/>
          <w:lang w:val="x-none"/>
        </w:rPr>
        <w:t>33</w:t>
      </w:r>
    </w:p>
    <w:p w14:paraId="69F821E2" w14:textId="632FB685" w:rsidR="008E6328" w:rsidRDefault="008E6328" w:rsidP="002E7F50">
      <w:pPr>
        <w:suppressAutoHyphens/>
        <w:autoSpaceDE/>
        <w:autoSpaceDN/>
        <w:adjustRightInd/>
        <w:jc w:val="center"/>
        <w:rPr>
          <w:b/>
          <w:i/>
          <w:iCs/>
          <w:sz w:val="24"/>
          <w:szCs w:val="24"/>
        </w:rPr>
      </w:pPr>
      <w:r w:rsidRPr="008E6328">
        <w:rPr>
          <w:b/>
          <w:i/>
          <w:iCs/>
          <w:sz w:val="24"/>
          <w:szCs w:val="24"/>
        </w:rPr>
        <w:t>Теоретические подходы к учету основных средств по российской и международной практике</w:t>
      </w:r>
    </w:p>
    <w:p w14:paraId="38C9EF55" w14:textId="77777777" w:rsidR="008E6328" w:rsidRDefault="008E6328" w:rsidP="002E7F50">
      <w:pPr>
        <w:suppressAutoHyphens/>
        <w:autoSpaceDE/>
        <w:autoSpaceDN/>
        <w:adjustRightInd/>
        <w:jc w:val="center"/>
        <w:rPr>
          <w:bCs/>
          <w:sz w:val="22"/>
          <w:szCs w:val="22"/>
          <w:lang w:val="x-none"/>
        </w:rPr>
      </w:pPr>
    </w:p>
    <w:p w14:paraId="767799E8" w14:textId="3879EEC6" w:rsidR="002E7F50" w:rsidRPr="002E7F50" w:rsidRDefault="002E7F50" w:rsidP="002E7F50">
      <w:pPr>
        <w:suppressAutoHyphens/>
        <w:autoSpaceDE/>
        <w:autoSpaceDN/>
        <w:adjustRightInd/>
        <w:jc w:val="center"/>
        <w:rPr>
          <w:bCs/>
          <w:sz w:val="22"/>
          <w:szCs w:val="22"/>
          <w:lang w:val="x-none"/>
        </w:rPr>
      </w:pPr>
      <w:r>
        <w:rPr>
          <w:bCs/>
          <w:sz w:val="22"/>
          <w:szCs w:val="22"/>
          <w:lang w:val="x-none"/>
        </w:rPr>
        <w:t>Борисова Виктория Евгеньевна</w:t>
      </w:r>
      <w:r w:rsidRPr="002E7F50">
        <w:rPr>
          <w:bCs/>
          <w:sz w:val="22"/>
          <w:szCs w:val="22"/>
          <w:lang w:val="x-none"/>
        </w:rPr>
        <w:t xml:space="preserve">, </w:t>
      </w:r>
    </w:p>
    <w:p w14:paraId="655842A1" w14:textId="0336B4EF" w:rsidR="002E7F50" w:rsidRPr="002E7F50" w:rsidRDefault="002E7F50" w:rsidP="002E7F50">
      <w:pPr>
        <w:suppressAutoHyphens/>
        <w:autoSpaceDE/>
        <w:autoSpaceDN/>
        <w:adjustRightInd/>
        <w:jc w:val="center"/>
        <w:rPr>
          <w:bCs/>
          <w:sz w:val="22"/>
          <w:szCs w:val="22"/>
          <w:lang w:val="x-none"/>
        </w:rPr>
      </w:pPr>
      <w:r>
        <w:rPr>
          <w:bCs/>
          <w:sz w:val="22"/>
          <w:szCs w:val="22"/>
          <w:lang w:val="x-none"/>
        </w:rPr>
        <w:t>бакалавр</w:t>
      </w:r>
    </w:p>
    <w:p w14:paraId="06010351" w14:textId="17716F30" w:rsidR="002E7F50" w:rsidRPr="002E7F50" w:rsidRDefault="002E7F50" w:rsidP="002E7F50">
      <w:pPr>
        <w:suppressAutoHyphens/>
        <w:autoSpaceDE/>
        <w:autoSpaceDN/>
        <w:adjustRightInd/>
        <w:jc w:val="center"/>
        <w:rPr>
          <w:bCs/>
          <w:i/>
          <w:sz w:val="22"/>
          <w:szCs w:val="22"/>
          <w:lang w:val="x-none"/>
        </w:rPr>
      </w:pPr>
      <w:r w:rsidRPr="002E7F50">
        <w:rPr>
          <w:bCs/>
          <w:i/>
          <w:sz w:val="22"/>
          <w:szCs w:val="22"/>
        </w:rPr>
        <w:t xml:space="preserve">ФБГОУ ВО </w:t>
      </w:r>
      <w:r w:rsidR="00D66F59">
        <w:rPr>
          <w:bCs/>
          <w:i/>
          <w:sz w:val="22"/>
          <w:szCs w:val="22"/>
        </w:rPr>
        <w:t>«</w:t>
      </w:r>
      <w:r w:rsidRPr="002E7F50">
        <w:rPr>
          <w:bCs/>
          <w:i/>
          <w:sz w:val="22"/>
          <w:szCs w:val="22"/>
          <w:lang w:val="x-none"/>
        </w:rPr>
        <w:t>Владивостокский государственный университет</w:t>
      </w:r>
      <w:r w:rsidR="00D66F59">
        <w:rPr>
          <w:bCs/>
          <w:i/>
          <w:sz w:val="22"/>
          <w:szCs w:val="22"/>
        </w:rPr>
        <w:t>»</w:t>
      </w:r>
      <w:r w:rsidRPr="002E7F50">
        <w:rPr>
          <w:bCs/>
          <w:i/>
          <w:sz w:val="22"/>
          <w:szCs w:val="22"/>
          <w:lang w:val="x-none"/>
        </w:rPr>
        <w:t xml:space="preserve"> </w:t>
      </w:r>
    </w:p>
    <w:p w14:paraId="6FE8F252" w14:textId="77777777" w:rsidR="002E7F50" w:rsidRPr="002E7F50" w:rsidRDefault="002E7F50" w:rsidP="002E7F50">
      <w:pPr>
        <w:suppressAutoHyphens/>
        <w:autoSpaceDE/>
        <w:autoSpaceDN/>
        <w:adjustRightInd/>
        <w:jc w:val="center"/>
        <w:rPr>
          <w:bCs/>
          <w:i/>
          <w:sz w:val="22"/>
          <w:szCs w:val="22"/>
          <w:lang w:val="x-none"/>
        </w:rPr>
      </w:pPr>
      <w:r w:rsidRPr="002E7F50">
        <w:rPr>
          <w:bCs/>
          <w:i/>
          <w:sz w:val="22"/>
          <w:szCs w:val="22"/>
          <w:lang w:val="x-none"/>
        </w:rPr>
        <w:t>Россия. Владивосток</w:t>
      </w:r>
    </w:p>
    <w:p w14:paraId="56A520F5" w14:textId="082CFF26" w:rsidR="002E7F50" w:rsidRPr="002E7F50" w:rsidRDefault="002E7F50" w:rsidP="002E7F50">
      <w:pPr>
        <w:suppressAutoHyphens/>
        <w:autoSpaceDE/>
        <w:autoSpaceDN/>
        <w:adjustRightInd/>
        <w:jc w:val="center"/>
        <w:rPr>
          <w:bCs/>
          <w:sz w:val="22"/>
          <w:szCs w:val="22"/>
          <w:lang w:val="x-none"/>
        </w:rPr>
      </w:pPr>
      <w:r w:rsidRPr="002E7F50">
        <w:rPr>
          <w:bCs/>
          <w:sz w:val="22"/>
          <w:szCs w:val="22"/>
          <w:lang w:val="en-US"/>
        </w:rPr>
        <w:t>E</w:t>
      </w:r>
      <w:r w:rsidRPr="002E7F50">
        <w:rPr>
          <w:bCs/>
          <w:sz w:val="22"/>
          <w:szCs w:val="22"/>
          <w:lang w:val="x-none"/>
        </w:rPr>
        <w:t>-</w:t>
      </w:r>
      <w:proofErr w:type="spellStart"/>
      <w:r w:rsidRPr="002E7F50">
        <w:rPr>
          <w:bCs/>
          <w:sz w:val="22"/>
          <w:szCs w:val="22"/>
          <w:lang w:val="en-US"/>
        </w:rPr>
        <w:t>mail</w:t>
      </w:r>
      <w:proofErr w:type="spellEnd"/>
      <w:r w:rsidRPr="002E7F50">
        <w:rPr>
          <w:bCs/>
          <w:sz w:val="22"/>
          <w:szCs w:val="22"/>
          <w:lang w:val="x-none"/>
        </w:rPr>
        <w:t>: victoriya.borisova.2003@mail.ru; Тел. +7</w:t>
      </w:r>
      <w:r>
        <w:rPr>
          <w:bCs/>
          <w:sz w:val="22"/>
          <w:szCs w:val="22"/>
          <w:lang w:val="x-none"/>
        </w:rPr>
        <w:t>9242489759</w:t>
      </w:r>
    </w:p>
    <w:p w14:paraId="17EE49DF" w14:textId="77777777" w:rsidR="002E7F50" w:rsidRPr="002E7F50" w:rsidRDefault="002E7F50" w:rsidP="002E7F50">
      <w:pPr>
        <w:suppressAutoHyphens/>
        <w:autoSpaceDE/>
        <w:autoSpaceDN/>
        <w:adjustRightInd/>
        <w:jc w:val="center"/>
        <w:rPr>
          <w:bCs/>
          <w:sz w:val="22"/>
          <w:szCs w:val="22"/>
        </w:rPr>
      </w:pPr>
      <w:r w:rsidRPr="002E7F50">
        <w:rPr>
          <w:bCs/>
          <w:sz w:val="22"/>
          <w:szCs w:val="22"/>
        </w:rPr>
        <w:t>ул. Гоголя, 41, г. Владивосток, Приморский край, Россия, 690014</w:t>
      </w:r>
    </w:p>
    <w:p w14:paraId="61326EC2" w14:textId="5004B0C7" w:rsidR="002E7F50" w:rsidRPr="002E7F50" w:rsidRDefault="002E7F50" w:rsidP="002E7F50">
      <w:pPr>
        <w:suppressAutoHyphens/>
        <w:autoSpaceDE/>
        <w:autoSpaceDN/>
        <w:adjustRightInd/>
        <w:spacing w:before="120" w:after="120"/>
        <w:jc w:val="center"/>
        <w:rPr>
          <w:i/>
          <w:sz w:val="24"/>
          <w:szCs w:val="24"/>
        </w:rPr>
      </w:pPr>
      <w:r w:rsidRPr="002E7F50">
        <w:rPr>
          <w:i/>
          <w:sz w:val="24"/>
          <w:szCs w:val="24"/>
        </w:rPr>
        <w:t>Изучение бухгалтерского учета основных средств и оценка их эффективности актуальны в условиях современного экономического развития. Рациональное управление активами повышает финансовую устойчивость предприятий и оптимизирует процессы. Изменения, включая ФСБУ 6/2020, требуют адаптации методик учета для повышения достоверности финансовой отчетности и управленческих решений.</w:t>
      </w:r>
    </w:p>
    <w:p w14:paraId="66CFE157" w14:textId="77777777" w:rsidR="002E7F50" w:rsidRDefault="002E7F50" w:rsidP="002E7F50">
      <w:pPr>
        <w:suppressAutoHyphens/>
        <w:autoSpaceDE/>
        <w:autoSpaceDN/>
        <w:adjustRightInd/>
        <w:spacing w:before="120" w:after="120"/>
        <w:ind w:firstLine="567"/>
        <w:rPr>
          <w:i/>
          <w:sz w:val="24"/>
          <w:szCs w:val="24"/>
          <w:lang w:val="x-none"/>
        </w:rPr>
      </w:pPr>
      <w:r w:rsidRPr="0034064F">
        <w:rPr>
          <w:b/>
          <w:i/>
          <w:sz w:val="24"/>
          <w:szCs w:val="24"/>
          <w:lang w:val="x-none"/>
        </w:rPr>
        <w:t>Ключевые слова и словосочетания</w:t>
      </w:r>
      <w:r w:rsidRPr="0034064F">
        <w:rPr>
          <w:i/>
          <w:sz w:val="24"/>
          <w:szCs w:val="24"/>
          <w:lang w:val="x-none"/>
        </w:rPr>
        <w:t>:</w:t>
      </w:r>
      <w:r w:rsidRPr="0034064F">
        <w:rPr>
          <w:sz w:val="24"/>
          <w:szCs w:val="24"/>
          <w:lang w:val="x-none"/>
        </w:rPr>
        <w:t xml:space="preserve"> </w:t>
      </w:r>
      <w:r w:rsidRPr="000409CB">
        <w:rPr>
          <w:i/>
          <w:sz w:val="24"/>
          <w:szCs w:val="24"/>
          <w:lang w:val="x-none"/>
        </w:rPr>
        <w:t>основные средства, амортизация, износ, инвентаризация, учет, анализ, эффективность</w:t>
      </w:r>
      <w:r w:rsidRPr="0034064F">
        <w:rPr>
          <w:i/>
          <w:sz w:val="24"/>
          <w:szCs w:val="24"/>
          <w:lang w:val="x-none"/>
        </w:rPr>
        <w:t>.</w:t>
      </w:r>
    </w:p>
    <w:p w14:paraId="4E0114D8" w14:textId="77777777" w:rsidR="008E6328" w:rsidRPr="005C5D07" w:rsidRDefault="008E6328" w:rsidP="002E7F50">
      <w:pPr>
        <w:suppressAutoHyphens/>
        <w:autoSpaceDE/>
        <w:autoSpaceDN/>
        <w:adjustRightInd/>
        <w:jc w:val="center"/>
        <w:rPr>
          <w:b/>
          <w:bCs/>
          <w:sz w:val="22"/>
          <w:szCs w:val="22"/>
          <w:lang w:val="en-US"/>
        </w:rPr>
      </w:pPr>
      <w:r w:rsidRPr="008E6328">
        <w:rPr>
          <w:b/>
          <w:bCs/>
          <w:sz w:val="22"/>
          <w:szCs w:val="22"/>
          <w:lang w:val="en-US"/>
        </w:rPr>
        <w:t>Theoretical approaches to accounting of fixed assets in Russian and international practice</w:t>
      </w:r>
    </w:p>
    <w:p w14:paraId="27C330C0" w14:textId="77777777" w:rsidR="008E6328" w:rsidRPr="005C5D07" w:rsidRDefault="008E6328" w:rsidP="002E7F50">
      <w:pPr>
        <w:suppressAutoHyphens/>
        <w:autoSpaceDE/>
        <w:autoSpaceDN/>
        <w:adjustRightInd/>
        <w:jc w:val="center"/>
        <w:rPr>
          <w:b/>
          <w:bCs/>
          <w:sz w:val="22"/>
          <w:szCs w:val="22"/>
          <w:lang w:val="en-US"/>
        </w:rPr>
      </w:pPr>
    </w:p>
    <w:p w14:paraId="4AA29784" w14:textId="1A897E69" w:rsidR="00B250BE" w:rsidRPr="00B250BE" w:rsidRDefault="00B250BE" w:rsidP="002E7F50">
      <w:pPr>
        <w:suppressAutoHyphens/>
        <w:autoSpaceDE/>
        <w:autoSpaceDN/>
        <w:adjustRightInd/>
        <w:jc w:val="center"/>
        <w:rPr>
          <w:bCs/>
          <w:i/>
          <w:sz w:val="22"/>
          <w:szCs w:val="22"/>
          <w:lang w:val="en-US"/>
        </w:rPr>
      </w:pPr>
      <w:r w:rsidRPr="00B250BE">
        <w:rPr>
          <w:bCs/>
          <w:i/>
          <w:sz w:val="22"/>
          <w:szCs w:val="22"/>
          <w:lang w:val="en-US"/>
        </w:rPr>
        <w:t>The study of accounting for fixed assets and the assessment of their effectiveness are relevant in the context of modern economic development. Rational asset management enhances the financial stability of enterprises and optimizes processes. Changes, including FSBU 6/2020, require the adaptation of accounting methods to improve the reliability of financial reporting and management decisions.</w:t>
      </w:r>
    </w:p>
    <w:p w14:paraId="6233450F" w14:textId="69252AF5" w:rsidR="00C27162" w:rsidRPr="001B303C" w:rsidRDefault="00B250BE" w:rsidP="00B250BE">
      <w:pPr>
        <w:suppressAutoHyphens/>
        <w:autoSpaceDE/>
        <w:autoSpaceDN/>
        <w:adjustRightInd/>
        <w:spacing w:before="120" w:after="120"/>
        <w:ind w:firstLine="567"/>
        <w:rPr>
          <w:sz w:val="24"/>
          <w:szCs w:val="24"/>
          <w:lang w:val="en-US"/>
        </w:rPr>
      </w:pPr>
      <w:r w:rsidRPr="00C27162">
        <w:rPr>
          <w:b/>
          <w:bCs/>
          <w:i/>
          <w:iCs/>
          <w:sz w:val="24"/>
          <w:szCs w:val="24"/>
          <w:lang w:val="en-US"/>
        </w:rPr>
        <w:t>Keywords and key phrases</w:t>
      </w:r>
      <w:r w:rsidRPr="00C27162">
        <w:rPr>
          <w:sz w:val="24"/>
          <w:szCs w:val="24"/>
          <w:lang w:val="en-US"/>
        </w:rPr>
        <w:t>: fixed assets, depreciation, wear and tear, inventory, accounting, analysis, efficiency.</w:t>
      </w:r>
    </w:p>
    <w:p w14:paraId="553A5BF4" w14:textId="77777777" w:rsidR="007B0561" w:rsidRDefault="0034064F" w:rsidP="00724F61">
      <w:pPr>
        <w:suppressAutoHyphens/>
        <w:autoSpaceDE/>
        <w:autoSpaceDN/>
        <w:adjustRightInd/>
        <w:ind w:firstLine="709"/>
        <w:jc w:val="both"/>
        <w:rPr>
          <w:sz w:val="24"/>
          <w:szCs w:val="24"/>
        </w:rPr>
      </w:pPr>
      <w:r w:rsidRPr="0034064F">
        <w:rPr>
          <w:sz w:val="24"/>
          <w:szCs w:val="24"/>
        </w:rPr>
        <w:t>​</w:t>
      </w:r>
    </w:p>
    <w:p w14:paraId="2F299338" w14:textId="77777777" w:rsidR="007B0561" w:rsidRPr="007B0561" w:rsidRDefault="007B0561" w:rsidP="007B0561">
      <w:pPr>
        <w:suppressAutoHyphens/>
        <w:autoSpaceDE/>
        <w:autoSpaceDN/>
        <w:adjustRightInd/>
        <w:ind w:firstLine="709"/>
        <w:jc w:val="both"/>
        <w:rPr>
          <w:sz w:val="24"/>
          <w:szCs w:val="24"/>
        </w:rPr>
      </w:pPr>
      <w:r w:rsidRPr="007B0561">
        <w:rPr>
          <w:sz w:val="24"/>
          <w:szCs w:val="24"/>
        </w:rPr>
        <w:t>Актуальность темы обусловлена значимостью учета основных средств в деятельности организаций, поскольку данные активы составляют основу материально-технической базы предприятия и напрямую влияют на финансовую отчетность. Различия между российскими и международными стандартами учета основных средств требуют детального рассмотрения, особенно в свете внедрения ФСБУ 6/2020, которое сближает отечественную практику с МСФО. Анализ данных различий позволяет выявить преимущества и недостатки каждого подхода, что актуально для бухгалтеров, аудиторов и исследователей в области учета.</w:t>
      </w:r>
    </w:p>
    <w:p w14:paraId="690193B9" w14:textId="77777777" w:rsidR="007B0561" w:rsidRPr="007B0561" w:rsidRDefault="007B0561" w:rsidP="007B0561">
      <w:pPr>
        <w:suppressAutoHyphens/>
        <w:autoSpaceDE/>
        <w:autoSpaceDN/>
        <w:adjustRightInd/>
        <w:ind w:firstLine="709"/>
        <w:jc w:val="both"/>
        <w:rPr>
          <w:sz w:val="24"/>
          <w:szCs w:val="24"/>
        </w:rPr>
      </w:pPr>
      <w:r w:rsidRPr="007B0561">
        <w:rPr>
          <w:sz w:val="24"/>
          <w:szCs w:val="24"/>
        </w:rPr>
        <w:t>Цель статьи – анализ теоретических подходов к учету основных средств в российской и международной практике, выявление их особенностей, различий и тенденций развития.</w:t>
      </w:r>
    </w:p>
    <w:p w14:paraId="7C8D0BE0" w14:textId="77777777" w:rsidR="007B0561" w:rsidRPr="007B0561" w:rsidRDefault="007B0561" w:rsidP="007B0561">
      <w:pPr>
        <w:suppressAutoHyphens/>
        <w:autoSpaceDE/>
        <w:autoSpaceDN/>
        <w:adjustRightInd/>
        <w:ind w:firstLine="709"/>
        <w:jc w:val="both"/>
        <w:rPr>
          <w:sz w:val="24"/>
          <w:szCs w:val="24"/>
        </w:rPr>
      </w:pPr>
      <w:r w:rsidRPr="007B0561">
        <w:rPr>
          <w:sz w:val="24"/>
          <w:szCs w:val="24"/>
        </w:rPr>
        <w:t>Для достижения поставленной цели решаются следующие задачи:</w:t>
      </w:r>
    </w:p>
    <w:p w14:paraId="4A0D9140" w14:textId="08FC2423" w:rsidR="007B0561" w:rsidRPr="007B0561" w:rsidRDefault="007B0561" w:rsidP="007B0561">
      <w:pPr>
        <w:numPr>
          <w:ilvl w:val="0"/>
          <w:numId w:val="24"/>
        </w:numPr>
        <w:suppressAutoHyphens/>
        <w:autoSpaceDE/>
        <w:autoSpaceDN/>
        <w:adjustRightInd/>
        <w:jc w:val="both"/>
        <w:rPr>
          <w:sz w:val="24"/>
          <w:szCs w:val="24"/>
        </w:rPr>
      </w:pPr>
      <w:r>
        <w:rPr>
          <w:sz w:val="24"/>
          <w:szCs w:val="24"/>
        </w:rPr>
        <w:t>и</w:t>
      </w:r>
      <w:r w:rsidRPr="007B0561">
        <w:rPr>
          <w:sz w:val="24"/>
          <w:szCs w:val="24"/>
        </w:rPr>
        <w:t>зучение нормативных документов, регламентирующих учет основных средств в РФ и за рубежом;</w:t>
      </w:r>
    </w:p>
    <w:p w14:paraId="058A2E47" w14:textId="2D7E3B8A" w:rsidR="007B0561" w:rsidRPr="007B0561" w:rsidRDefault="007B0561" w:rsidP="007B0561">
      <w:pPr>
        <w:numPr>
          <w:ilvl w:val="0"/>
          <w:numId w:val="24"/>
        </w:numPr>
        <w:suppressAutoHyphens/>
        <w:autoSpaceDE/>
        <w:autoSpaceDN/>
        <w:adjustRightInd/>
        <w:jc w:val="both"/>
        <w:rPr>
          <w:sz w:val="24"/>
          <w:szCs w:val="24"/>
        </w:rPr>
      </w:pPr>
      <w:r>
        <w:rPr>
          <w:sz w:val="24"/>
          <w:szCs w:val="24"/>
        </w:rPr>
        <w:t>а</w:t>
      </w:r>
      <w:r w:rsidRPr="007B0561">
        <w:rPr>
          <w:sz w:val="24"/>
          <w:szCs w:val="24"/>
        </w:rPr>
        <w:t>нализ ключевых положений ФСБУ 6/2020 и МСФО (IAS) 16;</w:t>
      </w:r>
    </w:p>
    <w:p w14:paraId="211E0E18" w14:textId="5DD94E5A" w:rsidR="007B0561" w:rsidRPr="007B0561" w:rsidRDefault="007B0561" w:rsidP="007B0561">
      <w:pPr>
        <w:numPr>
          <w:ilvl w:val="0"/>
          <w:numId w:val="24"/>
        </w:numPr>
        <w:suppressAutoHyphens/>
        <w:autoSpaceDE/>
        <w:autoSpaceDN/>
        <w:adjustRightInd/>
        <w:jc w:val="both"/>
        <w:rPr>
          <w:sz w:val="24"/>
          <w:szCs w:val="24"/>
        </w:rPr>
      </w:pPr>
      <w:r>
        <w:rPr>
          <w:sz w:val="24"/>
          <w:szCs w:val="24"/>
        </w:rPr>
        <w:t>о</w:t>
      </w:r>
      <w:r w:rsidRPr="007B0561">
        <w:rPr>
          <w:sz w:val="24"/>
          <w:szCs w:val="24"/>
        </w:rPr>
        <w:t>пределение сходств и различий в подходах к признанию, оценке, амортизации и обесценению основных средств;</w:t>
      </w:r>
    </w:p>
    <w:p w14:paraId="190F8052" w14:textId="314B2029" w:rsidR="007B0561" w:rsidRPr="007B0561" w:rsidRDefault="007B0561" w:rsidP="007B0561">
      <w:pPr>
        <w:numPr>
          <w:ilvl w:val="0"/>
          <w:numId w:val="24"/>
        </w:numPr>
        <w:suppressAutoHyphens/>
        <w:autoSpaceDE/>
        <w:autoSpaceDN/>
        <w:adjustRightInd/>
        <w:jc w:val="both"/>
        <w:rPr>
          <w:sz w:val="24"/>
          <w:szCs w:val="24"/>
        </w:rPr>
      </w:pPr>
      <w:r>
        <w:rPr>
          <w:sz w:val="24"/>
          <w:szCs w:val="24"/>
        </w:rPr>
        <w:t>о</w:t>
      </w:r>
      <w:r w:rsidRPr="007B0561">
        <w:rPr>
          <w:sz w:val="24"/>
          <w:szCs w:val="24"/>
        </w:rPr>
        <w:t>ценка влияния изменений в российском стандарте на практику бухгалтерского учета.</w:t>
      </w:r>
    </w:p>
    <w:p w14:paraId="02BA75DA" w14:textId="314C7F72" w:rsidR="007B0561" w:rsidRPr="007B0561" w:rsidRDefault="007B0561" w:rsidP="007B0561">
      <w:pPr>
        <w:suppressAutoHyphens/>
        <w:autoSpaceDE/>
        <w:autoSpaceDN/>
        <w:adjustRightInd/>
        <w:ind w:firstLine="709"/>
        <w:jc w:val="both"/>
        <w:rPr>
          <w:sz w:val="24"/>
          <w:szCs w:val="24"/>
        </w:rPr>
      </w:pPr>
      <w:r w:rsidRPr="007B0561">
        <w:rPr>
          <w:sz w:val="24"/>
          <w:szCs w:val="24"/>
        </w:rPr>
        <w:t xml:space="preserve">В качестве информационных источников используются нормативные документы, такие как ФСБУ 6/2020 </w:t>
      </w:r>
      <w:r w:rsidR="00D66F59">
        <w:rPr>
          <w:sz w:val="24"/>
          <w:szCs w:val="24"/>
        </w:rPr>
        <w:t>«</w:t>
      </w:r>
      <w:r w:rsidRPr="007B0561">
        <w:rPr>
          <w:sz w:val="24"/>
          <w:szCs w:val="24"/>
        </w:rPr>
        <w:t>Основные средства</w:t>
      </w:r>
      <w:r w:rsidR="00D66F59">
        <w:rPr>
          <w:sz w:val="24"/>
          <w:szCs w:val="24"/>
        </w:rPr>
        <w:t>»</w:t>
      </w:r>
      <w:r w:rsidRPr="007B0561">
        <w:rPr>
          <w:sz w:val="24"/>
          <w:szCs w:val="24"/>
        </w:rPr>
        <w:t xml:space="preserve"> [1, c.45], МСФО (IAS) 16 </w:t>
      </w:r>
      <w:r w:rsidR="00D66F59">
        <w:rPr>
          <w:sz w:val="24"/>
          <w:szCs w:val="24"/>
        </w:rPr>
        <w:t>«</w:t>
      </w:r>
      <w:r w:rsidRPr="007B0561">
        <w:rPr>
          <w:sz w:val="24"/>
          <w:szCs w:val="24"/>
        </w:rPr>
        <w:t>Основные средства</w:t>
      </w:r>
      <w:r w:rsidR="00D66F59">
        <w:rPr>
          <w:sz w:val="24"/>
          <w:szCs w:val="24"/>
        </w:rPr>
        <w:t>»</w:t>
      </w:r>
      <w:r w:rsidRPr="007B0561">
        <w:rPr>
          <w:sz w:val="24"/>
          <w:szCs w:val="24"/>
        </w:rPr>
        <w:t xml:space="preserve"> [2, c.78], а также статьи отечественных и зарубежных авторов, рассматривающие учетные аспекты основных средств</w:t>
      </w:r>
      <w:r w:rsidR="00D66F59">
        <w:rPr>
          <w:sz w:val="24"/>
          <w:szCs w:val="24"/>
        </w:rPr>
        <w:t>.</w:t>
      </w:r>
    </w:p>
    <w:p w14:paraId="4647D82E" w14:textId="77777777" w:rsidR="007B0561" w:rsidRPr="007B0561" w:rsidRDefault="007B0561" w:rsidP="007B0561">
      <w:pPr>
        <w:suppressAutoHyphens/>
        <w:autoSpaceDE/>
        <w:autoSpaceDN/>
        <w:adjustRightInd/>
        <w:ind w:firstLine="709"/>
        <w:jc w:val="both"/>
        <w:rPr>
          <w:sz w:val="24"/>
          <w:szCs w:val="24"/>
        </w:rPr>
      </w:pPr>
      <w:r w:rsidRPr="007B0561">
        <w:rPr>
          <w:sz w:val="24"/>
          <w:szCs w:val="24"/>
        </w:rPr>
        <w:t>Проблема заключается в том, что несмотря на сближение российской и международной практики учета основных средств, сохраняются различия, влияющие на сопоставимость финансовой отчетности организаций. В частности, российские компании сталкиваются с трудностями перехода к модели учета, приближенной к международным стандартам, что требует дополнительного анализа и методических разработок.</w:t>
      </w:r>
    </w:p>
    <w:p w14:paraId="4D3D2817" w14:textId="785ED76B" w:rsidR="007B0561" w:rsidRDefault="007B0561" w:rsidP="007B0561">
      <w:pPr>
        <w:suppressAutoHyphens/>
        <w:autoSpaceDE/>
        <w:autoSpaceDN/>
        <w:adjustRightInd/>
        <w:ind w:firstLine="709"/>
        <w:jc w:val="both"/>
        <w:rPr>
          <w:sz w:val="24"/>
          <w:szCs w:val="24"/>
        </w:rPr>
      </w:pPr>
      <w:r w:rsidRPr="007B0561">
        <w:rPr>
          <w:sz w:val="24"/>
          <w:szCs w:val="24"/>
        </w:rPr>
        <w:lastRenderedPageBreak/>
        <w:t xml:space="preserve">Вопрос учета основных средств занимает важное место в бухгалтерском учете, так как данные активы являются неотъемлемой частью производственной деятельности предприятий. В российской практике учет основных средств регулируется федеральными стандартами бухгалтерского учета (ФСБУ), в частности, ФСБУ 6/2020 </w:t>
      </w:r>
      <w:r w:rsidR="00D66F59">
        <w:rPr>
          <w:sz w:val="24"/>
          <w:szCs w:val="24"/>
        </w:rPr>
        <w:t>«</w:t>
      </w:r>
      <w:r w:rsidRPr="007B0561">
        <w:rPr>
          <w:sz w:val="24"/>
          <w:szCs w:val="24"/>
        </w:rPr>
        <w:t>Основные средства</w:t>
      </w:r>
      <w:r w:rsidR="00D66F59">
        <w:rPr>
          <w:sz w:val="24"/>
          <w:szCs w:val="24"/>
        </w:rPr>
        <w:t>»</w:t>
      </w:r>
      <w:r w:rsidRPr="007B0561">
        <w:rPr>
          <w:sz w:val="24"/>
          <w:szCs w:val="24"/>
        </w:rPr>
        <w:t xml:space="preserve"> [</w:t>
      </w:r>
      <w:r w:rsidR="00D66F59">
        <w:rPr>
          <w:sz w:val="24"/>
          <w:szCs w:val="24"/>
        </w:rPr>
        <w:t>1</w:t>
      </w:r>
      <w:r w:rsidRPr="007B0561">
        <w:rPr>
          <w:sz w:val="24"/>
          <w:szCs w:val="24"/>
        </w:rPr>
        <w:t xml:space="preserve">]. Международные стандарты финансовой отчетности (МСФО) рассматривают этот вопрос в рамках стандарта IAS 16 </w:t>
      </w:r>
      <w:r w:rsidR="00D66F59">
        <w:rPr>
          <w:sz w:val="24"/>
          <w:szCs w:val="24"/>
        </w:rPr>
        <w:t>«</w:t>
      </w:r>
      <w:r w:rsidRPr="007B0561">
        <w:rPr>
          <w:sz w:val="24"/>
          <w:szCs w:val="24"/>
        </w:rPr>
        <w:t>Основные средства</w:t>
      </w:r>
      <w:r w:rsidR="00D66F59">
        <w:rPr>
          <w:sz w:val="24"/>
          <w:szCs w:val="24"/>
        </w:rPr>
        <w:t>»</w:t>
      </w:r>
      <w:r w:rsidRPr="007B0561">
        <w:rPr>
          <w:sz w:val="24"/>
          <w:szCs w:val="24"/>
        </w:rPr>
        <w:t xml:space="preserve"> [</w:t>
      </w:r>
      <w:r w:rsidR="00D66F59">
        <w:rPr>
          <w:sz w:val="24"/>
          <w:szCs w:val="24"/>
        </w:rPr>
        <w:t>2</w:t>
      </w:r>
      <w:r w:rsidRPr="007B0561">
        <w:rPr>
          <w:sz w:val="24"/>
          <w:szCs w:val="24"/>
        </w:rPr>
        <w:t xml:space="preserve">]. </w:t>
      </w:r>
      <w:r>
        <w:rPr>
          <w:sz w:val="24"/>
          <w:szCs w:val="24"/>
        </w:rPr>
        <w:t>Данные</w:t>
      </w:r>
      <w:r w:rsidRPr="007B0561">
        <w:rPr>
          <w:sz w:val="24"/>
          <w:szCs w:val="24"/>
        </w:rPr>
        <w:t xml:space="preserve"> нормативные акты определяют порядок признания, оценки, амортизации и выбытия основных средств, обеспечивая единообразие в бухгалтерском учете.</w:t>
      </w:r>
    </w:p>
    <w:p w14:paraId="16E4B614" w14:textId="77777777" w:rsidR="007B0561" w:rsidRPr="0034064F" w:rsidRDefault="007B0561" w:rsidP="007B0561">
      <w:pPr>
        <w:suppressAutoHyphens/>
        <w:autoSpaceDE/>
        <w:autoSpaceDN/>
        <w:adjustRightInd/>
        <w:ind w:firstLine="709"/>
        <w:jc w:val="both"/>
        <w:rPr>
          <w:sz w:val="24"/>
          <w:szCs w:val="24"/>
        </w:rPr>
      </w:pPr>
      <w:r w:rsidRPr="0034064F">
        <w:rPr>
          <w:sz w:val="24"/>
          <w:szCs w:val="24"/>
        </w:rPr>
        <w:t xml:space="preserve">Основные средства занимают центральное место в экономической деятельности предприятий, обеспечивая материальную базу для производственных процессов и оказания услуг. Понимание сущности и характеристик этих активов варьируется в зависимости от подходов различных экономистов и нормативных </w:t>
      </w:r>
      <w:proofErr w:type="gramStart"/>
      <w:r w:rsidRPr="0034064F">
        <w:rPr>
          <w:sz w:val="24"/>
          <w:szCs w:val="24"/>
        </w:rPr>
        <w:t>документов.​</w:t>
      </w:r>
      <w:proofErr w:type="gramEnd"/>
    </w:p>
    <w:p w14:paraId="6753DA25" w14:textId="3E9DC6FF" w:rsidR="007B0561" w:rsidRPr="007B0561" w:rsidRDefault="007B0561" w:rsidP="007B0561">
      <w:pPr>
        <w:suppressAutoHyphens/>
        <w:autoSpaceDE/>
        <w:autoSpaceDN/>
        <w:adjustRightInd/>
        <w:ind w:firstLine="709"/>
        <w:jc w:val="both"/>
        <w:rPr>
          <w:sz w:val="24"/>
          <w:szCs w:val="24"/>
        </w:rPr>
      </w:pPr>
      <w:r w:rsidRPr="0034064F">
        <w:rPr>
          <w:sz w:val="24"/>
          <w:szCs w:val="24"/>
        </w:rPr>
        <w:t xml:space="preserve">В экономической теории основные средства часто отождествляются с понятием </w:t>
      </w:r>
      <w:r w:rsidR="00D66F59">
        <w:rPr>
          <w:sz w:val="24"/>
          <w:szCs w:val="24"/>
        </w:rPr>
        <w:t>«</w:t>
      </w:r>
      <w:r w:rsidRPr="0034064F">
        <w:rPr>
          <w:sz w:val="24"/>
          <w:szCs w:val="24"/>
        </w:rPr>
        <w:t>основной капитал</w:t>
      </w:r>
      <w:r w:rsidR="00D66F59">
        <w:rPr>
          <w:sz w:val="24"/>
          <w:szCs w:val="24"/>
        </w:rPr>
        <w:t>»</w:t>
      </w:r>
      <w:r w:rsidRPr="0034064F">
        <w:rPr>
          <w:sz w:val="24"/>
          <w:szCs w:val="24"/>
        </w:rPr>
        <w:t xml:space="preserve">. Под этим термином понимаются материальные активы, которые участвуют в производственном процессе длительное время, сохраняя свою натуральную форму, и переносят свою стоимость на готовую продукцию по частям по мере износа. К таким активам относятся здания, сооружения, машины и оборудование. Они не потребляются полностью в одном производственном цикле, а используются многократно, постепенно изнашиваясь и требуя замены или </w:t>
      </w:r>
      <w:proofErr w:type="gramStart"/>
      <w:r w:rsidRPr="0034064F">
        <w:rPr>
          <w:sz w:val="24"/>
          <w:szCs w:val="24"/>
        </w:rPr>
        <w:t>модернизации.​</w:t>
      </w:r>
      <w:proofErr w:type="gramEnd"/>
      <w:r w:rsidRPr="000409CB">
        <w:rPr>
          <w:sz w:val="24"/>
          <w:szCs w:val="24"/>
        </w:rPr>
        <w:t xml:space="preserve"> </w:t>
      </w:r>
    </w:p>
    <w:p w14:paraId="792213D3" w14:textId="019032A5" w:rsidR="007B0561" w:rsidRDefault="007B0561" w:rsidP="007B0561">
      <w:pPr>
        <w:suppressAutoHyphens/>
        <w:autoSpaceDE/>
        <w:autoSpaceDN/>
        <w:adjustRightInd/>
        <w:ind w:firstLine="709"/>
        <w:jc w:val="both"/>
        <w:rPr>
          <w:sz w:val="24"/>
          <w:szCs w:val="24"/>
        </w:rPr>
      </w:pPr>
      <w:r w:rsidRPr="007B0561">
        <w:rPr>
          <w:sz w:val="24"/>
          <w:szCs w:val="24"/>
        </w:rPr>
        <w:t xml:space="preserve">Согласно Федеральному стандарту бухгалтерского учета (ФСБУ) 6/2020 </w:t>
      </w:r>
      <w:r w:rsidR="00D66F59">
        <w:rPr>
          <w:sz w:val="24"/>
          <w:szCs w:val="24"/>
        </w:rPr>
        <w:t>«</w:t>
      </w:r>
      <w:r w:rsidRPr="007B0561">
        <w:rPr>
          <w:sz w:val="24"/>
          <w:szCs w:val="24"/>
        </w:rPr>
        <w:t>Основные средства</w:t>
      </w:r>
      <w:r w:rsidR="00D66F59">
        <w:rPr>
          <w:sz w:val="24"/>
          <w:szCs w:val="24"/>
        </w:rPr>
        <w:t>»</w:t>
      </w:r>
      <w:r w:rsidRPr="007B0561">
        <w:rPr>
          <w:sz w:val="24"/>
          <w:szCs w:val="24"/>
        </w:rPr>
        <w:t>, утвержденному приказом Минфина России от 17 сентября 2020 года № 204н, основные средства определяются как материальные активы, которые предназначены для использования в процессе производства или поставки товаров, при выполнении работ или оказании услуг, для управленческих нужд организации, и предполагаются к использованию в течение более чем одного периода. Данное определение акцентирует внимание на функциональном назначении актива и его способности приносить экономические выгоды в будущем</w:t>
      </w:r>
      <w:r>
        <w:rPr>
          <w:sz w:val="24"/>
          <w:szCs w:val="24"/>
        </w:rPr>
        <w:t xml:space="preserve"> </w:t>
      </w:r>
      <w:r w:rsidRPr="007B0561">
        <w:rPr>
          <w:sz w:val="24"/>
          <w:szCs w:val="24"/>
        </w:rPr>
        <w:t>[</w:t>
      </w:r>
      <w:r w:rsidR="00D66F59">
        <w:rPr>
          <w:sz w:val="24"/>
          <w:szCs w:val="24"/>
        </w:rPr>
        <w:t>1</w:t>
      </w:r>
      <w:r w:rsidRPr="007B0561">
        <w:rPr>
          <w:sz w:val="24"/>
          <w:szCs w:val="24"/>
        </w:rPr>
        <w:t xml:space="preserve">]. </w:t>
      </w:r>
    </w:p>
    <w:p w14:paraId="001E940D" w14:textId="54361F19" w:rsidR="00AF4BF1" w:rsidRPr="00AF4BF1" w:rsidRDefault="00AF4BF1" w:rsidP="00AF4BF1">
      <w:pPr>
        <w:suppressAutoHyphens/>
        <w:autoSpaceDE/>
        <w:autoSpaceDN/>
        <w:adjustRightInd/>
        <w:ind w:firstLine="709"/>
        <w:jc w:val="both"/>
        <w:rPr>
          <w:sz w:val="24"/>
          <w:szCs w:val="24"/>
        </w:rPr>
      </w:pPr>
      <w:r w:rsidRPr="00AF4BF1">
        <w:rPr>
          <w:sz w:val="24"/>
          <w:szCs w:val="24"/>
        </w:rPr>
        <w:t xml:space="preserve">Аналогичный подход представлен в Международном стандарте финансовой отчетности (IAS) 16 </w:t>
      </w:r>
      <w:r w:rsidR="00D66F59">
        <w:rPr>
          <w:sz w:val="24"/>
          <w:szCs w:val="24"/>
        </w:rPr>
        <w:t>«</w:t>
      </w:r>
      <w:r w:rsidRPr="00AF4BF1">
        <w:rPr>
          <w:sz w:val="24"/>
          <w:szCs w:val="24"/>
        </w:rPr>
        <w:t>Основные средства</w:t>
      </w:r>
      <w:r w:rsidR="00D66F59">
        <w:rPr>
          <w:sz w:val="24"/>
          <w:szCs w:val="24"/>
        </w:rPr>
        <w:t>»</w:t>
      </w:r>
      <w:r w:rsidRPr="00AF4BF1">
        <w:rPr>
          <w:sz w:val="24"/>
          <w:szCs w:val="24"/>
        </w:rPr>
        <w:t>. В нем основные средства рассматриваются как материальные объекты, предназначенные для использования в производстве или поставке товаров и услуг, для сдачи в аренду третьим лицам или для административных целей, и предполагаемые к использованию в течение более чем одного периода.</w:t>
      </w:r>
    </w:p>
    <w:p w14:paraId="30226986" w14:textId="77777777" w:rsidR="00AF4BF1" w:rsidRPr="00AF4BF1" w:rsidRDefault="00AF4BF1" w:rsidP="00AF4BF1">
      <w:pPr>
        <w:suppressAutoHyphens/>
        <w:autoSpaceDE/>
        <w:autoSpaceDN/>
        <w:adjustRightInd/>
        <w:ind w:firstLine="709"/>
        <w:jc w:val="both"/>
        <w:rPr>
          <w:sz w:val="24"/>
          <w:szCs w:val="24"/>
        </w:rPr>
      </w:pPr>
      <w:r w:rsidRPr="00AF4BF1">
        <w:rPr>
          <w:sz w:val="24"/>
          <w:szCs w:val="24"/>
        </w:rPr>
        <w:t>Обобщая различные подходы, можно выделить ключевые характеристики основных средств (рисунок 1).</w:t>
      </w:r>
    </w:p>
    <w:p w14:paraId="3337195E" w14:textId="2486A507" w:rsidR="00AF4BF1" w:rsidRPr="00AF4BF1" w:rsidRDefault="00AF4BF1" w:rsidP="00AF4BF1">
      <w:pPr>
        <w:suppressAutoHyphens/>
        <w:autoSpaceDE/>
        <w:autoSpaceDN/>
        <w:adjustRightInd/>
        <w:jc w:val="both"/>
        <w:rPr>
          <w:sz w:val="24"/>
          <w:szCs w:val="24"/>
        </w:rPr>
      </w:pPr>
      <w:r w:rsidRPr="00AF4BF1">
        <w:rPr>
          <w:noProof/>
          <w:sz w:val="24"/>
          <w:szCs w:val="24"/>
        </w:rPr>
        <w:drawing>
          <wp:inline distT="0" distB="0" distL="0" distR="0" wp14:anchorId="1BAE1314" wp14:editId="0DEC4035">
            <wp:extent cx="5966460" cy="2804160"/>
            <wp:effectExtent l="19050" t="0" r="15240" b="0"/>
            <wp:docPr id="6945482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63D4EB49" w14:textId="1E7A5E49" w:rsidR="00AF4BF1" w:rsidRPr="00AF4BF1" w:rsidRDefault="00AF4BF1" w:rsidP="00AF4BF1">
      <w:pPr>
        <w:suppressAutoHyphens/>
        <w:autoSpaceDE/>
        <w:autoSpaceDN/>
        <w:adjustRightInd/>
        <w:ind w:firstLine="709"/>
        <w:jc w:val="center"/>
        <w:rPr>
          <w:sz w:val="24"/>
          <w:szCs w:val="24"/>
        </w:rPr>
      </w:pPr>
      <w:r w:rsidRPr="00AF4BF1">
        <w:rPr>
          <w:sz w:val="24"/>
          <w:szCs w:val="24"/>
        </w:rPr>
        <w:t>Ри</w:t>
      </w:r>
      <w:r>
        <w:rPr>
          <w:sz w:val="24"/>
          <w:szCs w:val="24"/>
        </w:rPr>
        <w:t>с.</w:t>
      </w:r>
      <w:r w:rsidRPr="00AF4BF1">
        <w:rPr>
          <w:sz w:val="24"/>
          <w:szCs w:val="24"/>
        </w:rPr>
        <w:t xml:space="preserve"> 1 - Ключевые характеристики основных средств</w:t>
      </w:r>
    </w:p>
    <w:p w14:paraId="6F6B1EC7" w14:textId="77777777" w:rsidR="00AF4BF1" w:rsidRDefault="00AF4BF1" w:rsidP="00AF4BF1">
      <w:pPr>
        <w:suppressAutoHyphens/>
        <w:autoSpaceDE/>
        <w:autoSpaceDN/>
        <w:adjustRightInd/>
        <w:ind w:firstLine="709"/>
        <w:jc w:val="both"/>
        <w:rPr>
          <w:sz w:val="24"/>
          <w:szCs w:val="24"/>
        </w:rPr>
      </w:pPr>
    </w:p>
    <w:p w14:paraId="3BC9915B" w14:textId="2701DB23" w:rsidR="00AF4BF1" w:rsidRDefault="00AF4BF1" w:rsidP="00AF4BF1">
      <w:pPr>
        <w:suppressAutoHyphens/>
        <w:autoSpaceDE/>
        <w:autoSpaceDN/>
        <w:adjustRightInd/>
        <w:ind w:firstLine="709"/>
        <w:jc w:val="both"/>
        <w:rPr>
          <w:sz w:val="24"/>
          <w:szCs w:val="24"/>
        </w:rPr>
      </w:pPr>
      <w:r w:rsidRPr="00AF4BF1">
        <w:rPr>
          <w:sz w:val="24"/>
          <w:szCs w:val="24"/>
        </w:rPr>
        <w:lastRenderedPageBreak/>
        <w:t xml:space="preserve">По нашему мнению, основные средства представляют собой материальные активы, обеспечивающие выполнение транспортных и складских операций. Их учет, оценка и амортизация регламентируются актуальными нормативными документами, в частности, Федеральным стандартом бухгалтерского учета (ФСБУ) 6/2020 </w:t>
      </w:r>
      <w:r w:rsidR="00D66F59">
        <w:rPr>
          <w:sz w:val="24"/>
          <w:szCs w:val="24"/>
        </w:rPr>
        <w:t>«</w:t>
      </w:r>
      <w:r w:rsidRPr="00AF4BF1">
        <w:rPr>
          <w:sz w:val="24"/>
          <w:szCs w:val="24"/>
        </w:rPr>
        <w:t>Основные средства</w:t>
      </w:r>
      <w:r w:rsidR="00D66F59">
        <w:rPr>
          <w:sz w:val="24"/>
          <w:szCs w:val="24"/>
        </w:rPr>
        <w:t>»</w:t>
      </w:r>
      <w:r w:rsidRPr="00AF4BF1">
        <w:rPr>
          <w:sz w:val="24"/>
          <w:szCs w:val="24"/>
        </w:rPr>
        <w:t xml:space="preserve">. </w:t>
      </w:r>
    </w:p>
    <w:p w14:paraId="2EE4788A" w14:textId="14325502" w:rsidR="004135A5" w:rsidRPr="004135A5" w:rsidRDefault="004135A5" w:rsidP="004135A5">
      <w:pPr>
        <w:suppressAutoHyphens/>
        <w:autoSpaceDE/>
        <w:autoSpaceDN/>
        <w:adjustRightInd/>
        <w:ind w:firstLine="709"/>
        <w:jc w:val="both"/>
        <w:rPr>
          <w:sz w:val="24"/>
          <w:szCs w:val="24"/>
        </w:rPr>
      </w:pPr>
      <w:r w:rsidRPr="004135A5">
        <w:rPr>
          <w:sz w:val="24"/>
          <w:szCs w:val="24"/>
        </w:rPr>
        <w:t xml:space="preserve">Оценка основных средств в системе бухгалтерского учета представляет собой один из ключевых аспектов формирования достоверной отчетности организации. С момента вступления в силу Федерального стандарта бухгалтерского учета (ФСБУ) 6/2020 </w:t>
      </w:r>
      <w:r w:rsidR="00D66F59">
        <w:rPr>
          <w:sz w:val="24"/>
          <w:szCs w:val="24"/>
        </w:rPr>
        <w:t>«</w:t>
      </w:r>
      <w:r w:rsidRPr="004135A5">
        <w:rPr>
          <w:sz w:val="24"/>
          <w:szCs w:val="24"/>
        </w:rPr>
        <w:t>Основные средства</w:t>
      </w:r>
      <w:r w:rsidR="00D66F59">
        <w:rPr>
          <w:sz w:val="24"/>
          <w:szCs w:val="24"/>
        </w:rPr>
        <w:t>»</w:t>
      </w:r>
      <w:r w:rsidRPr="004135A5">
        <w:rPr>
          <w:sz w:val="24"/>
          <w:szCs w:val="24"/>
        </w:rPr>
        <w:t xml:space="preserve"> произошли значительные изменения в процедуре их учета, что обусловлено стремлением к унификации национальной практики с международными стандартами финансовой отчетности. Новый порядок применения данного стандарта обязателен с 2022 года, что требует от организаций корректировки учетной политики в соответствии с актуальными требованиями.</w:t>
      </w:r>
    </w:p>
    <w:p w14:paraId="0DF10021" w14:textId="77777777" w:rsidR="004135A5" w:rsidRPr="004135A5" w:rsidRDefault="004135A5" w:rsidP="004135A5">
      <w:pPr>
        <w:suppressAutoHyphens/>
        <w:autoSpaceDE/>
        <w:autoSpaceDN/>
        <w:adjustRightInd/>
        <w:ind w:firstLine="709"/>
        <w:jc w:val="both"/>
        <w:rPr>
          <w:sz w:val="24"/>
          <w:szCs w:val="24"/>
        </w:rPr>
      </w:pPr>
      <w:r w:rsidRPr="004135A5">
        <w:rPr>
          <w:sz w:val="24"/>
          <w:szCs w:val="24"/>
        </w:rPr>
        <w:t>При постановке объекта на учет его стоимость определяется совокупностью затрат, понесенных в процессе приобретения, строительства или изготовления. В данную категорию включаются платежи поставщикам, подрядным организациям, расходы на доставку, установку, наладку и иные операции, связанные с приведением объекта в эксплуатационное состояние. Однако ряд издержек, включая начисленные проценты по займам, используемым для финансирования приобретения, а также общехозяйственные траты, не имеющие прямого отношения к созданию актива, не подлежат включению в его стоимость.</w:t>
      </w:r>
    </w:p>
    <w:p w14:paraId="719EBC17" w14:textId="3B5792A4" w:rsidR="004135A5" w:rsidRPr="004135A5" w:rsidRDefault="004135A5" w:rsidP="004135A5">
      <w:pPr>
        <w:suppressAutoHyphens/>
        <w:autoSpaceDE/>
        <w:autoSpaceDN/>
        <w:adjustRightInd/>
        <w:ind w:firstLine="709"/>
        <w:jc w:val="both"/>
        <w:rPr>
          <w:sz w:val="24"/>
          <w:szCs w:val="24"/>
        </w:rPr>
      </w:pPr>
      <w:r w:rsidRPr="004135A5">
        <w:rPr>
          <w:sz w:val="24"/>
          <w:szCs w:val="24"/>
        </w:rPr>
        <w:t>После фиксации объекта в бухгалтерских регистрах организация обязана выбрать методику его последующей оценки. В рамках ФСБУ 6/2020 предусмотрены две модели: учет по первоначальной стоимости и переоценка в соответствии со справедливой стоимостью. Принятое решение должно быть закреплено в учетной политике компании и применяться на постоянной основе к конкретным группам активов.</w:t>
      </w:r>
    </w:p>
    <w:p w14:paraId="71A2B0D8" w14:textId="77777777" w:rsidR="004135A5" w:rsidRPr="004135A5" w:rsidRDefault="004135A5" w:rsidP="004135A5">
      <w:pPr>
        <w:suppressAutoHyphens/>
        <w:autoSpaceDE/>
        <w:autoSpaceDN/>
        <w:adjustRightInd/>
        <w:ind w:firstLine="709"/>
        <w:jc w:val="both"/>
        <w:rPr>
          <w:sz w:val="24"/>
          <w:szCs w:val="24"/>
        </w:rPr>
      </w:pPr>
      <w:r w:rsidRPr="004135A5">
        <w:rPr>
          <w:sz w:val="24"/>
          <w:szCs w:val="24"/>
        </w:rPr>
        <w:t>При выборе первой модели стоимость актива фиксируется в первоначальном размере, корректируемом с учетом начисленной амортизации и потенциального обесценения. В течение срока полезного использования осуществляется расчет амортизационных отчислений, величина которых определяется исходя из установленных норм эксплуатации, уровня физического и морального износа, а также возможных ограничений на использование.</w:t>
      </w:r>
    </w:p>
    <w:p w14:paraId="09673D4B" w14:textId="77777777" w:rsidR="004135A5" w:rsidRPr="004135A5" w:rsidRDefault="004135A5" w:rsidP="004135A5">
      <w:pPr>
        <w:suppressAutoHyphens/>
        <w:autoSpaceDE/>
        <w:autoSpaceDN/>
        <w:adjustRightInd/>
        <w:ind w:firstLine="709"/>
        <w:jc w:val="both"/>
        <w:rPr>
          <w:sz w:val="24"/>
          <w:szCs w:val="24"/>
        </w:rPr>
      </w:pPr>
      <w:r w:rsidRPr="004135A5">
        <w:rPr>
          <w:sz w:val="24"/>
          <w:szCs w:val="24"/>
        </w:rPr>
        <w:t>Вторая модель, основанная на пересмотре стоимости, предполагает регулярное обновление данных об активах с целью приведения их учета в соответствие с текущими рыночными условиями. Определение справедливой стоимости производится с привлечением информации о сделках на активных рынках или использованием методов оценки, предусмотренных международными стандартами. Изменения стоимости объекта в результате переоценки могут быть зафиксированы в капитале организации либо учтены в составе прочих доходов и расходов.</w:t>
      </w:r>
    </w:p>
    <w:p w14:paraId="58A70C3C" w14:textId="29A15F97" w:rsidR="004135A5" w:rsidRPr="004135A5" w:rsidRDefault="004135A5" w:rsidP="004135A5">
      <w:pPr>
        <w:suppressAutoHyphens/>
        <w:autoSpaceDE/>
        <w:autoSpaceDN/>
        <w:adjustRightInd/>
        <w:ind w:firstLine="709"/>
        <w:jc w:val="both"/>
        <w:rPr>
          <w:sz w:val="24"/>
          <w:szCs w:val="24"/>
        </w:rPr>
      </w:pPr>
      <w:r w:rsidRPr="004135A5">
        <w:rPr>
          <w:sz w:val="24"/>
          <w:szCs w:val="24"/>
        </w:rPr>
        <w:t>Важное значение имеет также учет ликвидационной стоимости, представляющей собой предполагаемую сумму, которую организация может получить после завершения срока эксплуатации актива за вычетом затрат на его утилизацию. Данный показатель влияет на расчет амортизируемой стоимости, что, в свою очередь, отражается на формировании финансовых результатов компании.</w:t>
      </w:r>
    </w:p>
    <w:p w14:paraId="1B8D3729" w14:textId="77777777" w:rsidR="004135A5" w:rsidRPr="004135A5" w:rsidRDefault="004135A5" w:rsidP="004135A5">
      <w:pPr>
        <w:suppressAutoHyphens/>
        <w:autoSpaceDE/>
        <w:autoSpaceDN/>
        <w:adjustRightInd/>
        <w:ind w:firstLine="709"/>
        <w:jc w:val="both"/>
        <w:rPr>
          <w:sz w:val="24"/>
          <w:szCs w:val="24"/>
        </w:rPr>
      </w:pPr>
      <w:r w:rsidRPr="004135A5">
        <w:rPr>
          <w:sz w:val="24"/>
          <w:szCs w:val="24"/>
        </w:rPr>
        <w:t>Процедуры выявления признаков обесценения обязательны к проведению на регулярной основе. В случае установления факта снижения стоимости объекта ниже его балансовой оценки организация обязана признать убыток от обесценения, что приводит к пересмотру учетных данных. Подобная корректировка влияет на финансовые показатели, поскольку уменьшает стоимость активов в отчетности.</w:t>
      </w:r>
    </w:p>
    <w:p w14:paraId="7F1CF9A6" w14:textId="4794E8C5" w:rsidR="007B0561" w:rsidRPr="007B0561" w:rsidRDefault="007B0561" w:rsidP="007B0561">
      <w:pPr>
        <w:suppressAutoHyphens/>
        <w:autoSpaceDE/>
        <w:autoSpaceDN/>
        <w:adjustRightInd/>
        <w:ind w:firstLine="709"/>
        <w:jc w:val="both"/>
        <w:rPr>
          <w:sz w:val="24"/>
          <w:szCs w:val="24"/>
        </w:rPr>
      </w:pPr>
      <w:r w:rsidRPr="007B0561">
        <w:rPr>
          <w:sz w:val="24"/>
          <w:szCs w:val="24"/>
        </w:rPr>
        <w:t>Важным аспектом учета основных средств является их амортизация. В российском стандарте предусмотрено несколько методов начисления амортизации, включая линейный способ, способ уменьшаемого остатка и способ списания стоимости пропорционально объему продукции или выполненных работ. В международной практике также допускаются различные методы амортизации, однако компании обязаны применять тот способ, который наиболее точно отражает процесс потребления экономических выгод от актива</w:t>
      </w:r>
      <w:r w:rsidR="00D66F59">
        <w:rPr>
          <w:sz w:val="24"/>
          <w:szCs w:val="24"/>
        </w:rPr>
        <w:t>.</w:t>
      </w:r>
    </w:p>
    <w:p w14:paraId="7C751A8B" w14:textId="1C4B365F" w:rsidR="00531BDB" w:rsidRPr="00531BDB" w:rsidRDefault="00531BDB" w:rsidP="00531BDB">
      <w:pPr>
        <w:suppressAutoHyphens/>
        <w:autoSpaceDE/>
        <w:autoSpaceDN/>
        <w:adjustRightInd/>
        <w:ind w:firstLine="709"/>
        <w:jc w:val="both"/>
        <w:rPr>
          <w:sz w:val="24"/>
          <w:szCs w:val="24"/>
        </w:rPr>
      </w:pPr>
      <w:r w:rsidRPr="00531BDB">
        <w:rPr>
          <w:sz w:val="24"/>
          <w:szCs w:val="24"/>
        </w:rPr>
        <w:lastRenderedPageBreak/>
        <w:t>Обесценение основных средств регулируется ФСБУ 6/2020, согласно которому проводится проверка на предмет возможного снижения стоимости активов, если выявляются признаки потери их полезности [</w:t>
      </w:r>
      <w:r w:rsidR="00D66F59">
        <w:rPr>
          <w:sz w:val="24"/>
          <w:szCs w:val="24"/>
        </w:rPr>
        <w:t>1</w:t>
      </w:r>
      <w:r w:rsidRPr="00531BDB">
        <w:rPr>
          <w:sz w:val="24"/>
          <w:szCs w:val="24"/>
        </w:rPr>
        <w:t>]. Организация должна оценивать возможность дальнейшего использования актива с учетом изменяющихся экономических условий, технического состояния оборудования и морального устаревания. Если стоимость объекта, рассчитанная с учетом дисконтированных будущих денежных потоков, оказывается ниже его балансовой стоимости, то разница признается убытком от обесценения. Международный стандарт IAS 36 также требует регулярного тестирования активов на обесценение и фиксирования выявленных потерь в отчетности [</w:t>
      </w:r>
      <w:r w:rsidR="00D66F59">
        <w:rPr>
          <w:sz w:val="24"/>
          <w:szCs w:val="24"/>
        </w:rPr>
        <w:t>2</w:t>
      </w:r>
      <w:r w:rsidRPr="00531BDB">
        <w:rPr>
          <w:sz w:val="24"/>
          <w:szCs w:val="24"/>
        </w:rPr>
        <w:t>]. Оценка производится путем сравнения балансовой стоимости актива с его возмещаемой стоимостью, которая определяется как наибольшая из двух величин: справедливой стоимости за вычетом затрат на выбытие или стоимости использования актива. В отличие от российских правил, международные стандарты предусматривают возможность последующего восстановления ранее списанной суммы, если выявляется улучшение финансовых перспектив актива. Это различие оказывает влияние на управленческие решения в части инвестиций и модернизации активов, поскольку российская практика не допускает обратного начисления стоимости после обесценения</w:t>
      </w:r>
      <w:r w:rsidR="00D66F59">
        <w:rPr>
          <w:sz w:val="24"/>
          <w:szCs w:val="24"/>
        </w:rPr>
        <w:t>.</w:t>
      </w:r>
    </w:p>
    <w:p w14:paraId="6B4DB9F4" w14:textId="4406CC07" w:rsidR="00531BDB" w:rsidRDefault="00531BDB" w:rsidP="00531BDB">
      <w:pPr>
        <w:suppressAutoHyphens/>
        <w:autoSpaceDE/>
        <w:autoSpaceDN/>
        <w:adjustRightInd/>
        <w:ind w:firstLine="709"/>
        <w:jc w:val="both"/>
        <w:rPr>
          <w:sz w:val="24"/>
          <w:szCs w:val="24"/>
        </w:rPr>
      </w:pPr>
      <w:r w:rsidRPr="00531BDB">
        <w:rPr>
          <w:sz w:val="24"/>
          <w:szCs w:val="24"/>
        </w:rPr>
        <w:t>Информация о состоянии и движении основных средств в бухгалтерской отчетности представляется в составе финансовых документов организации. Согласно ФСБУ 6/2020, сведения о наличии, первоначальной и остаточной стоимости, амортизации и переоценке активов фиксируются в бухгалтерском балансе, отчете о финансовых результатах и пояснительной записке к отчетности [</w:t>
      </w:r>
      <w:r w:rsidR="00D66F59">
        <w:rPr>
          <w:sz w:val="24"/>
          <w:szCs w:val="24"/>
        </w:rPr>
        <w:t>1</w:t>
      </w:r>
      <w:r w:rsidRPr="00531BDB">
        <w:rPr>
          <w:sz w:val="24"/>
          <w:szCs w:val="24"/>
        </w:rPr>
        <w:t>]. В международной практике аналогичные данные раскрываются в финансовых отчетах, подготовленных в соответствии с МСФО, с дополнительной детализацией информации о методах амортизации, справедливой стоимости активов и возможных убытках от обесценения. Корректное отражение основных средств в отчетности обеспечивает прозрачность финансового положения организации и повышает достоверность представляемых данных.</w:t>
      </w:r>
    </w:p>
    <w:p w14:paraId="2B5E13C4" w14:textId="318A0675" w:rsidR="00D66F59" w:rsidRPr="00D66F59" w:rsidRDefault="00D66F59" w:rsidP="00D66F59">
      <w:pPr>
        <w:suppressAutoHyphens/>
        <w:autoSpaceDE/>
        <w:autoSpaceDN/>
        <w:adjustRightInd/>
        <w:ind w:firstLine="709"/>
        <w:jc w:val="both"/>
        <w:rPr>
          <w:sz w:val="24"/>
          <w:szCs w:val="24"/>
        </w:rPr>
      </w:pPr>
      <w:r>
        <w:rPr>
          <w:sz w:val="24"/>
          <w:szCs w:val="24"/>
        </w:rPr>
        <w:t>Проведя данное исследования было определено, что и</w:t>
      </w:r>
      <w:r w:rsidRPr="00D66F59">
        <w:rPr>
          <w:sz w:val="24"/>
          <w:szCs w:val="24"/>
        </w:rPr>
        <w:t>зменения в российском стандарте учета основных средств оказали существенное влияние на практическое ведение бухгалтерского учета. Одним из наиболее значимых нововведений стало требование обязательного тестирования активов на обесценение. Ранее данный процесс осуществлялся преимущественно при возникновении очевидных признаков снижения полезности активов. Теперь организации обязаны регулярно оценивать свои основные средства с точки зрения их способности приносить экономические выгоды. Введение этого требования повысило точность финансовой отчетности, но одновременно увеличило трудозатраты бухгалтеров, поскольку теперь необходимо учитывать как внешние макроэкономические факторы, так и внутренние изменения в деятельности организации</w:t>
      </w:r>
      <w:r>
        <w:rPr>
          <w:sz w:val="24"/>
          <w:szCs w:val="24"/>
        </w:rPr>
        <w:t>.</w:t>
      </w:r>
    </w:p>
    <w:p w14:paraId="53291BB2" w14:textId="517DA385" w:rsidR="00D66F59" w:rsidRPr="00D66F59" w:rsidRDefault="00D66F59" w:rsidP="00D66F59">
      <w:pPr>
        <w:suppressAutoHyphens/>
        <w:autoSpaceDE/>
        <w:autoSpaceDN/>
        <w:adjustRightInd/>
        <w:ind w:firstLine="709"/>
        <w:jc w:val="both"/>
        <w:rPr>
          <w:sz w:val="24"/>
          <w:szCs w:val="24"/>
        </w:rPr>
      </w:pPr>
      <w:r w:rsidRPr="00D66F59">
        <w:rPr>
          <w:sz w:val="24"/>
          <w:szCs w:val="24"/>
        </w:rPr>
        <w:t>Практическим примером влияния изменений в стандарте может служить предприятие, занимающееся производством оборудования, которое из-за технологического прогресса быстро устаревает. В рамках ФСБУ 6/2020 такая организация вынуждена регулярно проверять, не снизилась ли реальная стоимость ее активов, и при необходимости отражать убытки от обесценения. В результате финансовая отчетность становится более точной, однако возрастают риски колебаний прибыли и необходимости внесения значительных корректировок в балансовую стоимость имущества</w:t>
      </w:r>
      <w:r>
        <w:rPr>
          <w:sz w:val="24"/>
          <w:szCs w:val="24"/>
        </w:rPr>
        <w:t>.</w:t>
      </w:r>
    </w:p>
    <w:p w14:paraId="6B185F2B" w14:textId="1E61A862" w:rsidR="00D66F59" w:rsidRPr="00D66F59" w:rsidRDefault="00D66F59" w:rsidP="00D66F59">
      <w:pPr>
        <w:suppressAutoHyphens/>
        <w:autoSpaceDE/>
        <w:autoSpaceDN/>
        <w:adjustRightInd/>
        <w:ind w:firstLine="709"/>
        <w:jc w:val="both"/>
        <w:rPr>
          <w:sz w:val="24"/>
          <w:szCs w:val="24"/>
        </w:rPr>
      </w:pPr>
      <w:r w:rsidRPr="00D66F59">
        <w:rPr>
          <w:sz w:val="24"/>
          <w:szCs w:val="24"/>
        </w:rPr>
        <w:t>Дополнительные изменения коснулись порядка оценки основных средств. Если ранее предприятия могли применять учетную политику, ориентированную исключительно на первоначальную стоимость активов, то в соответствии с новым стандартом допускается возможность использования модели переоценки. Это дало возможность отражать активы по их справедливой стоимости, что особенно актуально для организаций, владеющих недвижимостью, оборудованием или иными значительными материальными активами. Например, компания, владеющая коммерческой недвижимостью, может учитывать рост рыночной стоимости своих объектов и таким образом формировать более реалистичную картину финансового положения</w:t>
      </w:r>
      <w:r>
        <w:rPr>
          <w:sz w:val="24"/>
          <w:szCs w:val="24"/>
        </w:rPr>
        <w:t>.</w:t>
      </w:r>
    </w:p>
    <w:p w14:paraId="2107D6DB" w14:textId="5BC29EE6" w:rsidR="00D66F59" w:rsidRPr="00D66F59" w:rsidRDefault="00D66F59" w:rsidP="00D66F59">
      <w:pPr>
        <w:suppressAutoHyphens/>
        <w:autoSpaceDE/>
        <w:autoSpaceDN/>
        <w:adjustRightInd/>
        <w:ind w:firstLine="709"/>
        <w:jc w:val="both"/>
        <w:rPr>
          <w:sz w:val="24"/>
          <w:szCs w:val="24"/>
        </w:rPr>
      </w:pPr>
      <w:r w:rsidRPr="00D66F59">
        <w:rPr>
          <w:sz w:val="24"/>
          <w:szCs w:val="24"/>
        </w:rPr>
        <w:lastRenderedPageBreak/>
        <w:t>Применение модели переоценки, с одной стороны, делает финансовую отчетность более информативной, но с другой – накладывает дополнительные обязательства на бухгалтерские службы. Переоценка требует привлечения оценщиков, проведения периодических анализов и последующего документального подтверждения изменений в стоимости активов. Это увеличивает административную нагрузку, но одновременно обеспечивает прозрачность данных, что особенно важно для публичных компаний и организаций, привлекающих инвестиции [1].</w:t>
      </w:r>
    </w:p>
    <w:p w14:paraId="44CA4821" w14:textId="4BF6F284" w:rsidR="00D66F59" w:rsidRPr="00D66F59" w:rsidRDefault="00D66F59" w:rsidP="00D66F59">
      <w:pPr>
        <w:suppressAutoHyphens/>
        <w:autoSpaceDE/>
        <w:autoSpaceDN/>
        <w:adjustRightInd/>
        <w:ind w:firstLine="709"/>
        <w:jc w:val="both"/>
        <w:rPr>
          <w:sz w:val="24"/>
          <w:szCs w:val="24"/>
        </w:rPr>
      </w:pPr>
      <w:r w:rsidRPr="00D66F59">
        <w:rPr>
          <w:sz w:val="24"/>
          <w:szCs w:val="24"/>
        </w:rPr>
        <w:t>Другим значительным изменением стало уточнение сроков полезного использования активов. В отличие от прежнего подхода, когда организации могли устанавливать этот показатель исключительно на основе внутренних оценок, теперь необходимо учитывать реальные условия эксплуатации, техническое состояние и прогнозируемые изменения в бизнес-среде. Например, предприятия, работающие в условиях интенсивного технологического обновления, обязаны пересматривать сроки эксплуатации оборудования, что влияет на расчет амортизации и финансовый результат [2].</w:t>
      </w:r>
    </w:p>
    <w:p w14:paraId="56E92CFA" w14:textId="2E068A5E" w:rsidR="00531BDB" w:rsidRPr="00531BDB" w:rsidRDefault="00D66F59" w:rsidP="00D66F59">
      <w:pPr>
        <w:suppressAutoHyphens/>
        <w:autoSpaceDE/>
        <w:autoSpaceDN/>
        <w:adjustRightInd/>
        <w:ind w:firstLine="709"/>
        <w:jc w:val="both"/>
        <w:rPr>
          <w:sz w:val="24"/>
          <w:szCs w:val="24"/>
        </w:rPr>
      </w:pPr>
      <w:r w:rsidRPr="00D66F59">
        <w:rPr>
          <w:sz w:val="24"/>
          <w:szCs w:val="24"/>
        </w:rPr>
        <w:t>Введение ФСБУ 6/2020 также изменило порядок списания и выбытия основных средств. В новой редакции стандарта закреплено, что организации должны учитывать экономическую целесообразность дальнейшего использования актива, а не только его физическое состояние. Это привело к более строгому подходу к списанию активов, что особенно важно для крупных промышленных предприятий, имеющих значительные объемы оборудования и инфраструктуры. В результате организации стали чаще проводить анализ обоснованности списания основных средств, что минимизировало потери и повысило эффективность использования активов.</w:t>
      </w:r>
    </w:p>
    <w:p w14:paraId="7B610881" w14:textId="77777777" w:rsidR="00F25515" w:rsidRPr="007B0561" w:rsidRDefault="00F25515" w:rsidP="00531BDB">
      <w:pPr>
        <w:suppressAutoHyphens/>
        <w:autoSpaceDE/>
        <w:autoSpaceDN/>
        <w:adjustRightInd/>
        <w:jc w:val="both"/>
        <w:rPr>
          <w:sz w:val="24"/>
          <w:szCs w:val="24"/>
        </w:rPr>
      </w:pPr>
    </w:p>
    <w:p w14:paraId="45A50BCA" w14:textId="7599A495" w:rsidR="00F25515" w:rsidRPr="00F25515" w:rsidRDefault="00F25515" w:rsidP="007B0561">
      <w:pPr>
        <w:suppressAutoHyphens/>
        <w:autoSpaceDE/>
        <w:autoSpaceDN/>
        <w:adjustRightInd/>
        <w:ind w:firstLine="709"/>
        <w:jc w:val="both"/>
        <w:rPr>
          <w:b/>
          <w:bCs/>
          <w:sz w:val="24"/>
          <w:szCs w:val="24"/>
        </w:rPr>
      </w:pPr>
      <w:r w:rsidRPr="00F25515">
        <w:rPr>
          <w:b/>
          <w:bCs/>
          <w:sz w:val="24"/>
          <w:szCs w:val="24"/>
        </w:rPr>
        <w:t xml:space="preserve">Заключение </w:t>
      </w:r>
    </w:p>
    <w:p w14:paraId="30165262" w14:textId="77777777" w:rsidR="00531BDB" w:rsidRDefault="00531BDB" w:rsidP="00531BDB">
      <w:pPr>
        <w:suppressAutoHyphens/>
        <w:autoSpaceDE/>
        <w:autoSpaceDN/>
        <w:adjustRightInd/>
        <w:ind w:firstLine="709"/>
        <w:jc w:val="both"/>
        <w:rPr>
          <w:sz w:val="24"/>
          <w:szCs w:val="24"/>
        </w:rPr>
      </w:pPr>
      <w:r w:rsidRPr="00531BDB">
        <w:rPr>
          <w:sz w:val="24"/>
          <w:szCs w:val="24"/>
        </w:rPr>
        <w:t>Таким образом, учет основных средств в российской и международной практике имеет общие концептуальные основы, но также демонстрирует ряд различий, связанных с методами последующей оценки, амортизации и обесценения активов. Введение ФСБУ 6/2020 позволило частично гармонизировать отечественный учет с международными стандартами, однако остаются вопросы, требующие дальнейшей адаптации. Основной целью учета основных средств является достоверное представление информации о состоянии активов организации, что способствует принятию обоснованных управленческих решений и повышает прозрачность финансовой отчетности.</w:t>
      </w:r>
    </w:p>
    <w:p w14:paraId="059A1F64" w14:textId="299EA9C7" w:rsidR="00D66F59" w:rsidRPr="00D66F59" w:rsidRDefault="00D66F59" w:rsidP="00D66F59">
      <w:pPr>
        <w:suppressAutoHyphens/>
        <w:autoSpaceDE/>
        <w:autoSpaceDN/>
        <w:adjustRightInd/>
        <w:ind w:firstLine="709"/>
        <w:jc w:val="both"/>
        <w:rPr>
          <w:sz w:val="24"/>
          <w:szCs w:val="24"/>
        </w:rPr>
      </w:pPr>
      <w:r>
        <w:rPr>
          <w:sz w:val="24"/>
          <w:szCs w:val="24"/>
        </w:rPr>
        <w:t>При этом изменения</w:t>
      </w:r>
      <w:r w:rsidRPr="00D66F59">
        <w:rPr>
          <w:sz w:val="24"/>
          <w:szCs w:val="24"/>
        </w:rPr>
        <w:t xml:space="preserve"> в российском стандарте учета основных средств привели к значительной трансформации бухгалтерского учета. Введение тестирования на обесценение, расширение возможностей переоценки активов, уточнение порядка амортизации и выбытия имущества повысили точность и прозрачность финансовой отчетности. Однако данные нововведения потребовали от предприятий усиления контроля над учетными процессами, увеличили трудозатраты бухгалтеров и повысили требования к профессиональной компетентности специалистов. В долгосрочной перспективе такие изменения способствуют гармонизации российской учетной системы с международными стандартами, но требуют адаптации и совершенствования методических подходов.</w:t>
      </w:r>
    </w:p>
    <w:p w14:paraId="42352500" w14:textId="77777777" w:rsidR="00D66F59" w:rsidRPr="00531BDB" w:rsidRDefault="00D66F59" w:rsidP="00531BDB">
      <w:pPr>
        <w:suppressAutoHyphens/>
        <w:autoSpaceDE/>
        <w:autoSpaceDN/>
        <w:adjustRightInd/>
        <w:ind w:firstLine="709"/>
        <w:jc w:val="both"/>
        <w:rPr>
          <w:sz w:val="24"/>
          <w:szCs w:val="24"/>
        </w:rPr>
      </w:pPr>
    </w:p>
    <w:p w14:paraId="3A9AC9A5" w14:textId="77777777" w:rsidR="007B0561" w:rsidRDefault="007B0561" w:rsidP="00724F61">
      <w:pPr>
        <w:suppressAutoHyphens/>
        <w:autoSpaceDE/>
        <w:autoSpaceDN/>
        <w:adjustRightInd/>
        <w:ind w:firstLine="709"/>
        <w:jc w:val="both"/>
        <w:rPr>
          <w:sz w:val="24"/>
          <w:szCs w:val="24"/>
        </w:rPr>
      </w:pPr>
    </w:p>
    <w:p w14:paraId="4AB8978A" w14:textId="77777777" w:rsidR="007B0561" w:rsidRDefault="007B0561" w:rsidP="00724F61">
      <w:pPr>
        <w:suppressAutoHyphens/>
        <w:autoSpaceDE/>
        <w:autoSpaceDN/>
        <w:adjustRightInd/>
        <w:ind w:firstLine="709"/>
        <w:jc w:val="both"/>
        <w:rPr>
          <w:sz w:val="24"/>
          <w:szCs w:val="24"/>
        </w:rPr>
      </w:pPr>
    </w:p>
    <w:p w14:paraId="14B17A99" w14:textId="77777777" w:rsidR="00FB27CF" w:rsidRDefault="00FB27CF" w:rsidP="00724F61">
      <w:pPr>
        <w:suppressAutoHyphens/>
        <w:autoSpaceDE/>
        <w:autoSpaceDN/>
        <w:adjustRightInd/>
        <w:ind w:firstLine="709"/>
        <w:jc w:val="both"/>
        <w:rPr>
          <w:sz w:val="24"/>
          <w:szCs w:val="24"/>
        </w:rPr>
      </w:pPr>
    </w:p>
    <w:p w14:paraId="0D3D3908" w14:textId="77777777" w:rsidR="00FB27CF" w:rsidRDefault="00FB27CF" w:rsidP="00724F61">
      <w:pPr>
        <w:suppressAutoHyphens/>
        <w:autoSpaceDE/>
        <w:autoSpaceDN/>
        <w:adjustRightInd/>
        <w:ind w:firstLine="709"/>
        <w:jc w:val="both"/>
        <w:rPr>
          <w:sz w:val="24"/>
          <w:szCs w:val="24"/>
        </w:rPr>
      </w:pPr>
    </w:p>
    <w:p w14:paraId="1CF76159" w14:textId="77777777" w:rsidR="00FB27CF" w:rsidRDefault="00FB27CF" w:rsidP="00724F61">
      <w:pPr>
        <w:suppressAutoHyphens/>
        <w:autoSpaceDE/>
        <w:autoSpaceDN/>
        <w:adjustRightInd/>
        <w:ind w:firstLine="709"/>
        <w:jc w:val="both"/>
        <w:rPr>
          <w:sz w:val="24"/>
          <w:szCs w:val="24"/>
        </w:rPr>
      </w:pPr>
    </w:p>
    <w:p w14:paraId="11C68541" w14:textId="77777777" w:rsidR="00FB27CF" w:rsidRDefault="00FB27CF" w:rsidP="00724F61">
      <w:pPr>
        <w:suppressAutoHyphens/>
        <w:autoSpaceDE/>
        <w:autoSpaceDN/>
        <w:adjustRightInd/>
        <w:ind w:firstLine="709"/>
        <w:jc w:val="both"/>
        <w:rPr>
          <w:sz w:val="24"/>
          <w:szCs w:val="24"/>
        </w:rPr>
      </w:pPr>
    </w:p>
    <w:p w14:paraId="07CD555E" w14:textId="77777777" w:rsidR="00FB27CF" w:rsidRDefault="00FB27CF" w:rsidP="00724F61">
      <w:pPr>
        <w:suppressAutoHyphens/>
        <w:autoSpaceDE/>
        <w:autoSpaceDN/>
        <w:adjustRightInd/>
        <w:ind w:firstLine="709"/>
        <w:jc w:val="both"/>
        <w:rPr>
          <w:sz w:val="24"/>
          <w:szCs w:val="24"/>
        </w:rPr>
      </w:pPr>
    </w:p>
    <w:p w14:paraId="0F7AFBA3" w14:textId="77777777" w:rsidR="00FB27CF" w:rsidRDefault="00FB27CF" w:rsidP="00724F61">
      <w:pPr>
        <w:suppressAutoHyphens/>
        <w:autoSpaceDE/>
        <w:autoSpaceDN/>
        <w:adjustRightInd/>
        <w:ind w:firstLine="709"/>
        <w:jc w:val="both"/>
        <w:rPr>
          <w:sz w:val="24"/>
          <w:szCs w:val="24"/>
        </w:rPr>
      </w:pPr>
    </w:p>
    <w:p w14:paraId="350AEAE7" w14:textId="77777777" w:rsidR="00FB27CF" w:rsidRDefault="00FB27CF" w:rsidP="00724F61">
      <w:pPr>
        <w:suppressAutoHyphens/>
        <w:autoSpaceDE/>
        <w:autoSpaceDN/>
        <w:adjustRightInd/>
        <w:ind w:firstLine="709"/>
        <w:jc w:val="both"/>
        <w:rPr>
          <w:sz w:val="24"/>
          <w:szCs w:val="24"/>
        </w:rPr>
      </w:pPr>
    </w:p>
    <w:p w14:paraId="4DAB8416" w14:textId="77777777" w:rsidR="00FB27CF" w:rsidRDefault="00FB27CF" w:rsidP="00724F61">
      <w:pPr>
        <w:suppressAutoHyphens/>
        <w:autoSpaceDE/>
        <w:autoSpaceDN/>
        <w:adjustRightInd/>
        <w:ind w:firstLine="709"/>
        <w:jc w:val="both"/>
        <w:rPr>
          <w:sz w:val="24"/>
          <w:szCs w:val="24"/>
        </w:rPr>
      </w:pPr>
    </w:p>
    <w:p w14:paraId="6BACE8CF" w14:textId="49DF9732" w:rsidR="00FB27CF" w:rsidRDefault="00FB27CF" w:rsidP="00724F61">
      <w:pPr>
        <w:suppressAutoHyphens/>
        <w:autoSpaceDE/>
        <w:autoSpaceDN/>
        <w:adjustRightInd/>
        <w:ind w:firstLine="709"/>
        <w:jc w:val="both"/>
        <w:rPr>
          <w:sz w:val="24"/>
          <w:szCs w:val="24"/>
        </w:rPr>
      </w:pPr>
      <w:r>
        <w:rPr>
          <w:sz w:val="24"/>
          <w:szCs w:val="24"/>
        </w:rPr>
        <w:lastRenderedPageBreak/>
        <w:t>_________________________________________________________________________</w:t>
      </w:r>
    </w:p>
    <w:p w14:paraId="098F1642" w14:textId="15FE1244" w:rsidR="007B0561" w:rsidRDefault="00D66F59" w:rsidP="00D66F59">
      <w:pPr>
        <w:suppressAutoHyphens/>
        <w:autoSpaceDE/>
        <w:autoSpaceDN/>
        <w:adjustRightInd/>
        <w:ind w:firstLine="709"/>
        <w:jc w:val="center"/>
        <w:rPr>
          <w:sz w:val="24"/>
          <w:szCs w:val="24"/>
        </w:rPr>
      </w:pPr>
      <w:r>
        <w:rPr>
          <w:sz w:val="24"/>
          <w:szCs w:val="24"/>
        </w:rPr>
        <w:t>Список использованной литературы:</w:t>
      </w:r>
    </w:p>
    <w:p w14:paraId="1929A16E" w14:textId="0982D9F4" w:rsidR="00D66F59" w:rsidRPr="00D66F59" w:rsidRDefault="00D66F59" w:rsidP="00D66F59">
      <w:pPr>
        <w:pStyle w:val="aa"/>
        <w:numPr>
          <w:ilvl w:val="0"/>
          <w:numId w:val="25"/>
        </w:numPr>
        <w:suppressAutoHyphens/>
        <w:autoSpaceDE/>
        <w:autoSpaceDN/>
        <w:adjustRightInd/>
        <w:ind w:left="0" w:firstLine="709"/>
        <w:jc w:val="both"/>
        <w:rPr>
          <w:sz w:val="24"/>
          <w:szCs w:val="24"/>
        </w:rPr>
      </w:pPr>
      <w:r w:rsidRPr="00D66F59">
        <w:rPr>
          <w:sz w:val="24"/>
          <w:szCs w:val="24"/>
        </w:rPr>
        <w:t xml:space="preserve">Федеральный стандарт бухгалтерского учета ФСБУ 6/2020 </w:t>
      </w:r>
      <w:r>
        <w:rPr>
          <w:sz w:val="24"/>
          <w:szCs w:val="24"/>
        </w:rPr>
        <w:t>«</w:t>
      </w:r>
      <w:r w:rsidRPr="00D66F59">
        <w:rPr>
          <w:sz w:val="24"/>
          <w:szCs w:val="24"/>
        </w:rPr>
        <w:t>Основные средства</w:t>
      </w:r>
      <w:r>
        <w:rPr>
          <w:sz w:val="24"/>
          <w:szCs w:val="24"/>
        </w:rPr>
        <w:t>»</w:t>
      </w:r>
      <w:r w:rsidRPr="00D66F59">
        <w:rPr>
          <w:sz w:val="24"/>
          <w:szCs w:val="24"/>
        </w:rPr>
        <w:t xml:space="preserve"> // Министерство финансов Российской Федерации. – 17 сентября 2020 г. – URL: </w:t>
      </w:r>
      <w:hyperlink r:id="rId13" w:tgtFrame="_new" w:history="1">
        <w:r w:rsidRPr="00D66F59">
          <w:rPr>
            <w:rStyle w:val="ab"/>
            <w:sz w:val="24"/>
            <w:szCs w:val="24"/>
          </w:rPr>
          <w:t>https://minfin.gov.ru/ru/document?id_4=133537</w:t>
        </w:r>
      </w:hyperlink>
      <w:r w:rsidRPr="00D66F59">
        <w:rPr>
          <w:sz w:val="24"/>
          <w:szCs w:val="24"/>
        </w:rPr>
        <w:t xml:space="preserve"> (дата обращения: 14.03.2025).</w:t>
      </w:r>
    </w:p>
    <w:p w14:paraId="6D22AD1C" w14:textId="6ACF812F" w:rsidR="00D66F59" w:rsidRPr="00D66F59" w:rsidRDefault="00D66F59" w:rsidP="00D66F59">
      <w:pPr>
        <w:pStyle w:val="aa"/>
        <w:numPr>
          <w:ilvl w:val="0"/>
          <w:numId w:val="25"/>
        </w:numPr>
        <w:suppressAutoHyphens/>
        <w:autoSpaceDE/>
        <w:autoSpaceDN/>
        <w:adjustRightInd/>
        <w:ind w:left="0" w:firstLine="709"/>
        <w:jc w:val="both"/>
        <w:rPr>
          <w:sz w:val="24"/>
          <w:szCs w:val="24"/>
        </w:rPr>
      </w:pPr>
      <w:r w:rsidRPr="00D66F59">
        <w:rPr>
          <w:sz w:val="24"/>
          <w:szCs w:val="24"/>
        </w:rPr>
        <w:t xml:space="preserve">Международный стандарт финансовой отчетности (IAS) 16 </w:t>
      </w:r>
      <w:r>
        <w:rPr>
          <w:sz w:val="24"/>
          <w:szCs w:val="24"/>
        </w:rPr>
        <w:t>«</w:t>
      </w:r>
      <w:r w:rsidRPr="00D66F59">
        <w:rPr>
          <w:sz w:val="24"/>
          <w:szCs w:val="24"/>
        </w:rPr>
        <w:t>Основные средства</w:t>
      </w:r>
      <w:r>
        <w:rPr>
          <w:sz w:val="24"/>
          <w:szCs w:val="24"/>
        </w:rPr>
        <w:t>»</w:t>
      </w:r>
      <w:r w:rsidRPr="00D66F59">
        <w:rPr>
          <w:sz w:val="24"/>
          <w:szCs w:val="24"/>
        </w:rPr>
        <w:t xml:space="preserve"> // Министерство финансов Российской Федерации. – 28 декабря 2015 г. – URL: </w:t>
      </w:r>
      <w:hyperlink r:id="rId14" w:tgtFrame="_new" w:history="1">
        <w:r w:rsidRPr="00D66F59">
          <w:rPr>
            <w:rStyle w:val="ab"/>
            <w:sz w:val="24"/>
            <w:szCs w:val="24"/>
          </w:rPr>
          <w:t>https://www.consultant.ru/document/cons_doc_LAW_193590/</w:t>
        </w:r>
      </w:hyperlink>
      <w:r w:rsidRPr="00D66F59">
        <w:rPr>
          <w:sz w:val="24"/>
          <w:szCs w:val="24"/>
        </w:rPr>
        <w:t xml:space="preserve"> (дата обращения: 14.03.2025).</w:t>
      </w:r>
    </w:p>
    <w:p w14:paraId="6657F532" w14:textId="39335C9A" w:rsidR="00D66F59" w:rsidRPr="00D66F59" w:rsidRDefault="00D66F59" w:rsidP="00D66F59">
      <w:pPr>
        <w:pStyle w:val="aa"/>
        <w:numPr>
          <w:ilvl w:val="0"/>
          <w:numId w:val="25"/>
        </w:numPr>
        <w:suppressAutoHyphens/>
        <w:autoSpaceDE/>
        <w:autoSpaceDN/>
        <w:adjustRightInd/>
        <w:ind w:left="0" w:firstLine="709"/>
        <w:jc w:val="both"/>
        <w:rPr>
          <w:sz w:val="24"/>
          <w:szCs w:val="24"/>
        </w:rPr>
      </w:pPr>
      <w:r w:rsidRPr="00D66F59">
        <w:rPr>
          <w:sz w:val="24"/>
          <w:szCs w:val="24"/>
        </w:rPr>
        <w:t xml:space="preserve">Приказ Минфина России от 17.09.2020 № 204н </w:t>
      </w:r>
      <w:r>
        <w:rPr>
          <w:sz w:val="24"/>
          <w:szCs w:val="24"/>
        </w:rPr>
        <w:t>«</w:t>
      </w:r>
      <w:r w:rsidRPr="00D66F59">
        <w:rPr>
          <w:sz w:val="24"/>
          <w:szCs w:val="24"/>
        </w:rPr>
        <w:t xml:space="preserve">Об утверждении федеральных стандартов бухгалтерского учета ФСБУ 6/2020 </w:t>
      </w:r>
      <w:r>
        <w:rPr>
          <w:sz w:val="24"/>
          <w:szCs w:val="24"/>
        </w:rPr>
        <w:t>«</w:t>
      </w:r>
      <w:r w:rsidRPr="00D66F59">
        <w:rPr>
          <w:sz w:val="24"/>
          <w:szCs w:val="24"/>
        </w:rPr>
        <w:t>Основные средства</w:t>
      </w:r>
      <w:r>
        <w:rPr>
          <w:sz w:val="24"/>
          <w:szCs w:val="24"/>
        </w:rPr>
        <w:t>»</w:t>
      </w:r>
      <w:r w:rsidRPr="00D66F59">
        <w:rPr>
          <w:sz w:val="24"/>
          <w:szCs w:val="24"/>
        </w:rPr>
        <w:t xml:space="preserve"> и ФСБУ 26/2020 </w:t>
      </w:r>
      <w:r>
        <w:rPr>
          <w:sz w:val="24"/>
          <w:szCs w:val="24"/>
        </w:rPr>
        <w:t>«</w:t>
      </w:r>
      <w:r w:rsidRPr="00D66F59">
        <w:rPr>
          <w:sz w:val="24"/>
          <w:szCs w:val="24"/>
        </w:rPr>
        <w:t>Капитальные вложения</w:t>
      </w:r>
      <w:r>
        <w:rPr>
          <w:sz w:val="24"/>
          <w:szCs w:val="24"/>
        </w:rPr>
        <w:t>»</w:t>
      </w:r>
      <w:r w:rsidRPr="00D66F59">
        <w:rPr>
          <w:sz w:val="24"/>
          <w:szCs w:val="24"/>
        </w:rPr>
        <w:t xml:space="preserve"> // Официальный интернет-портал правовой информации. – 17 сентября 2020 г. – URL: </w:t>
      </w:r>
      <w:hyperlink r:id="rId15" w:tgtFrame="_new" w:history="1">
        <w:r w:rsidRPr="00D66F59">
          <w:rPr>
            <w:rStyle w:val="ab"/>
            <w:sz w:val="24"/>
            <w:szCs w:val="24"/>
          </w:rPr>
          <w:t>https://base.garant.ru/74765146/</w:t>
        </w:r>
      </w:hyperlink>
      <w:r w:rsidRPr="00D66F59">
        <w:rPr>
          <w:sz w:val="24"/>
          <w:szCs w:val="24"/>
        </w:rPr>
        <w:t xml:space="preserve"> (дата обращения: 14.03.2025).</w:t>
      </w:r>
    </w:p>
    <w:p w14:paraId="1E7E46D3" w14:textId="77777777" w:rsidR="00D66F59" w:rsidRPr="00D66F59" w:rsidRDefault="00D66F59" w:rsidP="00724F61">
      <w:pPr>
        <w:suppressAutoHyphens/>
        <w:autoSpaceDE/>
        <w:autoSpaceDN/>
        <w:adjustRightInd/>
        <w:ind w:firstLine="709"/>
        <w:jc w:val="both"/>
        <w:rPr>
          <w:sz w:val="24"/>
          <w:szCs w:val="24"/>
        </w:rPr>
      </w:pPr>
    </w:p>
    <w:p w14:paraId="656CFE98" w14:textId="77777777" w:rsidR="00D66F59" w:rsidRDefault="00D66F59" w:rsidP="00724F61">
      <w:pPr>
        <w:suppressAutoHyphens/>
        <w:autoSpaceDE/>
        <w:autoSpaceDN/>
        <w:adjustRightInd/>
        <w:ind w:firstLine="709"/>
        <w:jc w:val="both"/>
        <w:rPr>
          <w:sz w:val="24"/>
          <w:szCs w:val="24"/>
        </w:rPr>
      </w:pPr>
    </w:p>
    <w:p w14:paraId="59876981" w14:textId="77777777" w:rsidR="007B0561" w:rsidRDefault="007B0561" w:rsidP="00724F61">
      <w:pPr>
        <w:suppressAutoHyphens/>
        <w:autoSpaceDE/>
        <w:autoSpaceDN/>
        <w:adjustRightInd/>
        <w:ind w:firstLine="709"/>
        <w:jc w:val="both"/>
        <w:rPr>
          <w:sz w:val="24"/>
          <w:szCs w:val="24"/>
        </w:rPr>
      </w:pPr>
    </w:p>
    <w:p w14:paraId="5885A66C" w14:textId="77777777" w:rsidR="007B0561" w:rsidRDefault="007B0561" w:rsidP="00724F61">
      <w:pPr>
        <w:suppressAutoHyphens/>
        <w:autoSpaceDE/>
        <w:autoSpaceDN/>
        <w:adjustRightInd/>
        <w:ind w:firstLine="709"/>
        <w:jc w:val="both"/>
        <w:rPr>
          <w:sz w:val="24"/>
          <w:szCs w:val="24"/>
        </w:rPr>
      </w:pPr>
    </w:p>
    <w:p w14:paraId="4C46B05D" w14:textId="77777777" w:rsidR="007B0561" w:rsidRDefault="007B0561" w:rsidP="00724F61">
      <w:pPr>
        <w:suppressAutoHyphens/>
        <w:autoSpaceDE/>
        <w:autoSpaceDN/>
        <w:adjustRightInd/>
        <w:ind w:firstLine="709"/>
        <w:jc w:val="both"/>
        <w:rPr>
          <w:sz w:val="24"/>
          <w:szCs w:val="24"/>
        </w:rPr>
      </w:pPr>
    </w:p>
    <w:p w14:paraId="6023A353" w14:textId="77777777" w:rsidR="0034064F" w:rsidRDefault="0034064F" w:rsidP="00724F61">
      <w:pPr>
        <w:suppressAutoHyphens/>
        <w:autoSpaceDE/>
        <w:autoSpaceDN/>
        <w:adjustRightInd/>
        <w:rPr>
          <w:sz w:val="24"/>
          <w:szCs w:val="24"/>
        </w:rPr>
      </w:pPr>
    </w:p>
    <w:p w14:paraId="1C6E4A45" w14:textId="77777777" w:rsidR="00E157A4" w:rsidRPr="0034064F" w:rsidRDefault="00E157A4" w:rsidP="00724F61">
      <w:pPr>
        <w:suppressAutoHyphens/>
        <w:autoSpaceDE/>
        <w:autoSpaceDN/>
        <w:adjustRightInd/>
        <w:rPr>
          <w:sz w:val="24"/>
          <w:szCs w:val="24"/>
        </w:rPr>
      </w:pPr>
    </w:p>
    <w:p w14:paraId="6840373D" w14:textId="77777777" w:rsidR="009E79BC" w:rsidRDefault="009E79BC" w:rsidP="00724F61">
      <w:pPr>
        <w:suppressAutoHyphens/>
        <w:autoSpaceDE/>
        <w:autoSpaceDN/>
        <w:adjustRightInd/>
        <w:rPr>
          <w:sz w:val="24"/>
          <w:szCs w:val="24"/>
        </w:rPr>
      </w:pPr>
    </w:p>
    <w:p w14:paraId="6A66E62E" w14:textId="77777777" w:rsidR="00E157A4" w:rsidRPr="000409CB" w:rsidRDefault="00E157A4" w:rsidP="00724F61">
      <w:pPr>
        <w:suppressAutoHyphens/>
        <w:autoSpaceDE/>
        <w:autoSpaceDN/>
        <w:adjustRightInd/>
        <w:rPr>
          <w:sz w:val="24"/>
          <w:szCs w:val="24"/>
        </w:rPr>
      </w:pPr>
    </w:p>
    <w:sectPr w:rsidR="00E157A4" w:rsidRPr="000409CB" w:rsidSect="007B0561">
      <w:pgSz w:w="11906" w:h="16838"/>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4B0195" w14:textId="77777777" w:rsidR="002E6273" w:rsidRDefault="002E6273" w:rsidP="00AF014B">
      <w:r>
        <w:separator/>
      </w:r>
    </w:p>
  </w:endnote>
  <w:endnote w:type="continuationSeparator" w:id="0">
    <w:p w14:paraId="378B4B5A" w14:textId="77777777" w:rsidR="002E6273" w:rsidRDefault="002E6273" w:rsidP="00AF0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D2A290" w14:textId="77777777" w:rsidR="002E6273" w:rsidRDefault="002E6273" w:rsidP="00AF014B">
      <w:r>
        <w:separator/>
      </w:r>
    </w:p>
  </w:footnote>
  <w:footnote w:type="continuationSeparator" w:id="0">
    <w:p w14:paraId="5C854D20" w14:textId="77777777" w:rsidR="002E6273" w:rsidRDefault="002E6273" w:rsidP="00AF01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28C6A1AA"/>
    <w:lvl w:ilvl="0">
      <w:numFmt w:val="bullet"/>
      <w:lvlText w:val="*"/>
      <w:lvlJc w:val="left"/>
    </w:lvl>
  </w:abstractNum>
  <w:abstractNum w:abstractNumId="1" w15:restartNumberingAfterBreak="0">
    <w:nsid w:val="00000001"/>
    <w:multiLevelType w:val="multilevel"/>
    <w:tmpl w:val="70A01F8E"/>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0276131A"/>
    <w:multiLevelType w:val="hybridMultilevel"/>
    <w:tmpl w:val="DC02E1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E233DD"/>
    <w:multiLevelType w:val="hybridMultilevel"/>
    <w:tmpl w:val="BF06D0E2"/>
    <w:lvl w:ilvl="0" w:tplc="FA9CF538">
      <w:start w:val="1"/>
      <w:numFmt w:val="bullet"/>
      <w:lvlText w:val=""/>
      <w:lvlJc w:val="left"/>
      <w:pPr>
        <w:tabs>
          <w:tab w:val="num" w:pos="2509"/>
        </w:tabs>
        <w:ind w:left="2509" w:hanging="360"/>
      </w:pPr>
      <w:rPr>
        <w:rFonts w:ascii="Symbol" w:hAnsi="Symbol" w:hint="default"/>
      </w:rPr>
    </w:lvl>
    <w:lvl w:ilvl="1" w:tplc="0C488D92">
      <w:start w:val="1"/>
      <w:numFmt w:val="bullet"/>
      <w:lvlText w:val=""/>
      <w:lvlJc w:val="left"/>
      <w:pPr>
        <w:tabs>
          <w:tab w:val="num" w:pos="928"/>
        </w:tabs>
        <w:ind w:left="928"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15:restartNumberingAfterBreak="0">
    <w:nsid w:val="17C21670"/>
    <w:multiLevelType w:val="hybridMultilevel"/>
    <w:tmpl w:val="3F9CB4EA"/>
    <w:lvl w:ilvl="0" w:tplc="928222B8">
      <w:start w:val="1"/>
      <w:numFmt w:val="decimal"/>
      <w:lvlText w:val="%1."/>
      <w:lvlJc w:val="left"/>
      <w:pPr>
        <w:ind w:left="1158" w:hanging="45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8150EFF"/>
    <w:multiLevelType w:val="singleLevel"/>
    <w:tmpl w:val="04190001"/>
    <w:lvl w:ilvl="0">
      <w:start w:val="1"/>
      <w:numFmt w:val="bullet"/>
      <w:lvlText w:val=""/>
      <w:lvlJc w:val="left"/>
      <w:pPr>
        <w:ind w:left="720" w:hanging="360"/>
      </w:pPr>
      <w:rPr>
        <w:rFonts w:ascii="Symbol" w:hAnsi="Symbol" w:hint="default"/>
      </w:rPr>
    </w:lvl>
  </w:abstractNum>
  <w:abstractNum w:abstractNumId="6" w15:restartNumberingAfterBreak="0">
    <w:nsid w:val="27052DB0"/>
    <w:multiLevelType w:val="hybridMultilevel"/>
    <w:tmpl w:val="0E8C8ACA"/>
    <w:lvl w:ilvl="0" w:tplc="914A6AC2">
      <w:start w:val="1"/>
      <w:numFmt w:val="bullet"/>
      <w:lvlText w:val=""/>
      <w:lvlJc w:val="left"/>
      <w:pPr>
        <w:ind w:left="1931" w:hanging="360"/>
      </w:pPr>
      <w:rPr>
        <w:rFonts w:ascii="Symbol" w:hAnsi="Symbol" w:hint="default"/>
      </w:rPr>
    </w:lvl>
    <w:lvl w:ilvl="1" w:tplc="04190003" w:tentative="1">
      <w:start w:val="1"/>
      <w:numFmt w:val="bullet"/>
      <w:lvlText w:val="o"/>
      <w:lvlJc w:val="left"/>
      <w:pPr>
        <w:ind w:left="2651" w:hanging="360"/>
      </w:pPr>
      <w:rPr>
        <w:rFonts w:ascii="Courier New" w:hAnsi="Courier New" w:cs="Courier New" w:hint="default"/>
      </w:rPr>
    </w:lvl>
    <w:lvl w:ilvl="2" w:tplc="04190005" w:tentative="1">
      <w:start w:val="1"/>
      <w:numFmt w:val="bullet"/>
      <w:lvlText w:val=""/>
      <w:lvlJc w:val="left"/>
      <w:pPr>
        <w:ind w:left="3371" w:hanging="360"/>
      </w:pPr>
      <w:rPr>
        <w:rFonts w:ascii="Wingdings" w:hAnsi="Wingdings" w:hint="default"/>
      </w:rPr>
    </w:lvl>
    <w:lvl w:ilvl="3" w:tplc="04190001" w:tentative="1">
      <w:start w:val="1"/>
      <w:numFmt w:val="bullet"/>
      <w:lvlText w:val=""/>
      <w:lvlJc w:val="left"/>
      <w:pPr>
        <w:ind w:left="4091" w:hanging="360"/>
      </w:pPr>
      <w:rPr>
        <w:rFonts w:ascii="Symbol" w:hAnsi="Symbol" w:hint="default"/>
      </w:rPr>
    </w:lvl>
    <w:lvl w:ilvl="4" w:tplc="04190003" w:tentative="1">
      <w:start w:val="1"/>
      <w:numFmt w:val="bullet"/>
      <w:lvlText w:val="o"/>
      <w:lvlJc w:val="left"/>
      <w:pPr>
        <w:ind w:left="4811" w:hanging="360"/>
      </w:pPr>
      <w:rPr>
        <w:rFonts w:ascii="Courier New" w:hAnsi="Courier New" w:cs="Courier New" w:hint="default"/>
      </w:rPr>
    </w:lvl>
    <w:lvl w:ilvl="5" w:tplc="04190005" w:tentative="1">
      <w:start w:val="1"/>
      <w:numFmt w:val="bullet"/>
      <w:lvlText w:val=""/>
      <w:lvlJc w:val="left"/>
      <w:pPr>
        <w:ind w:left="5531" w:hanging="360"/>
      </w:pPr>
      <w:rPr>
        <w:rFonts w:ascii="Wingdings" w:hAnsi="Wingdings" w:hint="default"/>
      </w:rPr>
    </w:lvl>
    <w:lvl w:ilvl="6" w:tplc="04190001" w:tentative="1">
      <w:start w:val="1"/>
      <w:numFmt w:val="bullet"/>
      <w:lvlText w:val=""/>
      <w:lvlJc w:val="left"/>
      <w:pPr>
        <w:ind w:left="6251" w:hanging="360"/>
      </w:pPr>
      <w:rPr>
        <w:rFonts w:ascii="Symbol" w:hAnsi="Symbol" w:hint="default"/>
      </w:rPr>
    </w:lvl>
    <w:lvl w:ilvl="7" w:tplc="04190003" w:tentative="1">
      <w:start w:val="1"/>
      <w:numFmt w:val="bullet"/>
      <w:lvlText w:val="o"/>
      <w:lvlJc w:val="left"/>
      <w:pPr>
        <w:ind w:left="6971" w:hanging="360"/>
      </w:pPr>
      <w:rPr>
        <w:rFonts w:ascii="Courier New" w:hAnsi="Courier New" w:cs="Courier New" w:hint="default"/>
      </w:rPr>
    </w:lvl>
    <w:lvl w:ilvl="8" w:tplc="04190005" w:tentative="1">
      <w:start w:val="1"/>
      <w:numFmt w:val="bullet"/>
      <w:lvlText w:val=""/>
      <w:lvlJc w:val="left"/>
      <w:pPr>
        <w:ind w:left="7691" w:hanging="360"/>
      </w:pPr>
      <w:rPr>
        <w:rFonts w:ascii="Wingdings" w:hAnsi="Wingdings" w:hint="default"/>
      </w:rPr>
    </w:lvl>
  </w:abstractNum>
  <w:abstractNum w:abstractNumId="7" w15:restartNumberingAfterBreak="0">
    <w:nsid w:val="284C138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96C3F50"/>
    <w:multiLevelType w:val="hybridMultilevel"/>
    <w:tmpl w:val="B38CB95E"/>
    <w:lvl w:ilvl="0" w:tplc="573877AE">
      <w:start w:val="1"/>
      <w:numFmt w:val="decimal"/>
      <w:lvlText w:val="%1."/>
      <w:lvlJc w:val="left"/>
      <w:pPr>
        <w:ind w:left="1785" w:hanging="1065"/>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2B81209D"/>
    <w:multiLevelType w:val="hybridMultilevel"/>
    <w:tmpl w:val="A03EDA3C"/>
    <w:lvl w:ilvl="0" w:tplc="B956879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E2A3105"/>
    <w:multiLevelType w:val="multilevel"/>
    <w:tmpl w:val="0F301EDA"/>
    <w:lvl w:ilvl="0">
      <w:start w:val="1"/>
      <w:numFmt w:val="decimal"/>
      <w:lvlText w:val="%1."/>
      <w:lvlJc w:val="left"/>
      <w:pPr>
        <w:ind w:left="1068" w:hanging="360"/>
      </w:pPr>
      <w:rPr>
        <w:rFonts w:ascii="Times New Roman" w:eastAsia="Times New Roman" w:hAnsi="Times New Roman" w:cs="Times New Roman"/>
        <w:b w:val="0"/>
        <w:sz w:val="24"/>
        <w:szCs w:val="24"/>
      </w:rPr>
    </w:lvl>
    <w:lvl w:ilvl="1">
      <w:start w:val="1"/>
      <w:numFmt w:val="decimal"/>
      <w:isLgl/>
      <w:lvlText w:val="%1.%2."/>
      <w:lvlJc w:val="left"/>
      <w:pPr>
        <w:ind w:left="1069" w:hanging="360"/>
      </w:pPr>
      <w:rPr>
        <w:rFonts w:hint="default"/>
        <w:b w:val="0"/>
        <w:sz w:val="26"/>
        <w:szCs w:val="26"/>
      </w:rPr>
    </w:lvl>
    <w:lvl w:ilvl="2">
      <w:start w:val="1"/>
      <w:numFmt w:val="decimal"/>
      <w:isLgl/>
      <w:lvlText w:val="%1.%2.%3."/>
      <w:lvlJc w:val="left"/>
      <w:pPr>
        <w:ind w:left="1430" w:hanging="720"/>
      </w:pPr>
      <w:rPr>
        <w:rFonts w:hint="default"/>
        <w:b w:val="0"/>
        <w:sz w:val="20"/>
      </w:rPr>
    </w:lvl>
    <w:lvl w:ilvl="3">
      <w:start w:val="1"/>
      <w:numFmt w:val="decimal"/>
      <w:isLgl/>
      <w:lvlText w:val="%1.%2.%3.%4."/>
      <w:lvlJc w:val="left"/>
      <w:pPr>
        <w:ind w:left="1431" w:hanging="720"/>
      </w:pPr>
      <w:rPr>
        <w:rFonts w:hint="default"/>
        <w:b w:val="0"/>
        <w:sz w:val="20"/>
      </w:rPr>
    </w:lvl>
    <w:lvl w:ilvl="4">
      <w:start w:val="1"/>
      <w:numFmt w:val="decimal"/>
      <w:isLgl/>
      <w:lvlText w:val="%1.%2.%3.%4.%5."/>
      <w:lvlJc w:val="left"/>
      <w:pPr>
        <w:ind w:left="1792" w:hanging="1080"/>
      </w:pPr>
      <w:rPr>
        <w:rFonts w:hint="default"/>
        <w:b w:val="0"/>
        <w:sz w:val="20"/>
      </w:rPr>
    </w:lvl>
    <w:lvl w:ilvl="5">
      <w:start w:val="1"/>
      <w:numFmt w:val="decimal"/>
      <w:isLgl/>
      <w:lvlText w:val="%1.%2.%3.%4.%5.%6."/>
      <w:lvlJc w:val="left"/>
      <w:pPr>
        <w:ind w:left="1793" w:hanging="1080"/>
      </w:pPr>
      <w:rPr>
        <w:rFonts w:hint="default"/>
        <w:b w:val="0"/>
        <w:sz w:val="20"/>
      </w:rPr>
    </w:lvl>
    <w:lvl w:ilvl="6">
      <w:start w:val="1"/>
      <w:numFmt w:val="decimal"/>
      <w:isLgl/>
      <w:lvlText w:val="%1.%2.%3.%4.%5.%6.%7."/>
      <w:lvlJc w:val="left"/>
      <w:pPr>
        <w:ind w:left="2154" w:hanging="1440"/>
      </w:pPr>
      <w:rPr>
        <w:rFonts w:hint="default"/>
        <w:b w:val="0"/>
        <w:sz w:val="20"/>
      </w:rPr>
    </w:lvl>
    <w:lvl w:ilvl="7">
      <w:start w:val="1"/>
      <w:numFmt w:val="decimal"/>
      <w:isLgl/>
      <w:lvlText w:val="%1.%2.%3.%4.%5.%6.%7.%8."/>
      <w:lvlJc w:val="left"/>
      <w:pPr>
        <w:ind w:left="2155" w:hanging="1440"/>
      </w:pPr>
      <w:rPr>
        <w:rFonts w:hint="default"/>
        <w:b w:val="0"/>
        <w:sz w:val="20"/>
      </w:rPr>
    </w:lvl>
    <w:lvl w:ilvl="8">
      <w:start w:val="1"/>
      <w:numFmt w:val="decimal"/>
      <w:isLgl/>
      <w:lvlText w:val="%1.%2.%3.%4.%5.%6.%7.%8.%9."/>
      <w:lvlJc w:val="left"/>
      <w:pPr>
        <w:ind w:left="2516" w:hanging="1800"/>
      </w:pPr>
      <w:rPr>
        <w:rFonts w:hint="default"/>
        <w:b w:val="0"/>
        <w:sz w:val="20"/>
      </w:rPr>
    </w:lvl>
  </w:abstractNum>
  <w:abstractNum w:abstractNumId="11" w15:restartNumberingAfterBreak="0">
    <w:nsid w:val="2F493A4F"/>
    <w:multiLevelType w:val="hybridMultilevel"/>
    <w:tmpl w:val="3E6ADEA4"/>
    <w:lvl w:ilvl="0" w:tplc="097424A6">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31DE6175"/>
    <w:multiLevelType w:val="multilevel"/>
    <w:tmpl w:val="AC36317E"/>
    <w:lvl w:ilvl="0">
      <w:start w:val="1"/>
      <w:numFmt w:val="decimal"/>
      <w:lvlText w:val="%1."/>
      <w:lvlJc w:val="left"/>
      <w:pPr>
        <w:ind w:left="1440" w:hanging="360"/>
      </w:pPr>
      <w:rPr>
        <w:rFonts w:hint="default"/>
        <w:i w:val="0"/>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13" w15:restartNumberingAfterBreak="0">
    <w:nsid w:val="369A70BB"/>
    <w:multiLevelType w:val="hybridMultilevel"/>
    <w:tmpl w:val="FBB619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AF91A3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4A8F0E63"/>
    <w:multiLevelType w:val="hybridMultilevel"/>
    <w:tmpl w:val="FB96638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58C426DA"/>
    <w:multiLevelType w:val="hybridMultilevel"/>
    <w:tmpl w:val="841C9CF4"/>
    <w:lvl w:ilvl="0" w:tplc="B0D6816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7" w15:restartNumberingAfterBreak="0">
    <w:nsid w:val="5A262BC2"/>
    <w:multiLevelType w:val="multilevel"/>
    <w:tmpl w:val="DD383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0902BD"/>
    <w:multiLevelType w:val="hybridMultilevel"/>
    <w:tmpl w:val="9528C250"/>
    <w:lvl w:ilvl="0" w:tplc="BAA86CDE">
      <w:start w:val="1"/>
      <w:numFmt w:val="decimal"/>
      <w:lvlText w:val="%1"/>
      <w:lvlJc w:val="left"/>
      <w:pPr>
        <w:ind w:left="1440" w:hanging="360"/>
      </w:pPr>
      <w:rPr>
        <w:rFonts w:hint="default"/>
        <w:i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15:restartNumberingAfterBreak="0">
    <w:nsid w:val="629F3250"/>
    <w:multiLevelType w:val="hybridMultilevel"/>
    <w:tmpl w:val="D536008E"/>
    <w:lvl w:ilvl="0" w:tplc="D2E2DC94">
      <w:start w:val="1"/>
      <w:numFmt w:val="decimal"/>
      <w:lvlText w:val="%1.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54B4BCD"/>
    <w:multiLevelType w:val="hybridMultilevel"/>
    <w:tmpl w:val="52B6941A"/>
    <w:lvl w:ilvl="0" w:tplc="914A6AC2">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6CAD66E3"/>
    <w:multiLevelType w:val="hybridMultilevel"/>
    <w:tmpl w:val="37E4A206"/>
    <w:lvl w:ilvl="0" w:tplc="29863CD6">
      <w:numFmt w:val="bullet"/>
      <w:lvlText w:val=""/>
      <w:lvlJc w:val="left"/>
      <w:pPr>
        <w:ind w:left="1237" w:hanging="528"/>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65D1F93"/>
    <w:multiLevelType w:val="multilevel"/>
    <w:tmpl w:val="FFF04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BD43FD8"/>
    <w:multiLevelType w:val="multilevel"/>
    <w:tmpl w:val="EFC4F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F12EC3"/>
    <w:multiLevelType w:val="hybridMultilevel"/>
    <w:tmpl w:val="D4FE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C0058F5"/>
    <w:multiLevelType w:val="hybridMultilevel"/>
    <w:tmpl w:val="8B3E7332"/>
    <w:lvl w:ilvl="0" w:tplc="16CCE8C0">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5"/>
  </w:num>
  <w:num w:numId="2">
    <w:abstractNumId w:val="20"/>
  </w:num>
  <w:num w:numId="3">
    <w:abstractNumId w:val="19"/>
  </w:num>
  <w:num w:numId="4">
    <w:abstractNumId w:val="6"/>
  </w:num>
  <w:num w:numId="5">
    <w:abstractNumId w:val="18"/>
  </w:num>
  <w:num w:numId="6">
    <w:abstractNumId w:val="8"/>
  </w:num>
  <w:num w:numId="7">
    <w:abstractNumId w:val="12"/>
  </w:num>
  <w:num w:numId="8">
    <w:abstractNumId w:val="3"/>
  </w:num>
  <w:num w:numId="9">
    <w:abstractNumId w:val="10"/>
  </w:num>
  <w:num w:numId="10">
    <w:abstractNumId w:val="24"/>
  </w:num>
  <w:num w:numId="11">
    <w:abstractNumId w:val="13"/>
  </w:num>
  <w:num w:numId="12">
    <w:abstractNumId w:val="1"/>
  </w:num>
  <w:num w:numId="13">
    <w:abstractNumId w:val="2"/>
  </w:num>
  <w:num w:numId="14">
    <w:abstractNumId w:val="4"/>
  </w:num>
  <w:num w:numId="15">
    <w:abstractNumId w:val="25"/>
  </w:num>
  <w:num w:numId="16">
    <w:abstractNumId w:val="16"/>
  </w:num>
  <w:num w:numId="17">
    <w:abstractNumId w:val="9"/>
  </w:num>
  <w:num w:numId="18">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9">
    <w:abstractNumId w:val="14"/>
  </w:num>
  <w:num w:numId="20">
    <w:abstractNumId w:val="7"/>
  </w:num>
  <w:num w:numId="21">
    <w:abstractNumId w:val="5"/>
  </w:num>
  <w:num w:numId="22">
    <w:abstractNumId w:val="17"/>
  </w:num>
  <w:num w:numId="23">
    <w:abstractNumId w:val="22"/>
  </w:num>
  <w:num w:numId="24">
    <w:abstractNumId w:val="23"/>
  </w:num>
  <w:num w:numId="25">
    <w:abstractNumId w:val="11"/>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DF2"/>
    <w:rsid w:val="00011247"/>
    <w:rsid w:val="00020CDF"/>
    <w:rsid w:val="00030173"/>
    <w:rsid w:val="000409CB"/>
    <w:rsid w:val="0004117B"/>
    <w:rsid w:val="0004430D"/>
    <w:rsid w:val="00050C34"/>
    <w:rsid w:val="000623CB"/>
    <w:rsid w:val="00073437"/>
    <w:rsid w:val="00076BF8"/>
    <w:rsid w:val="0008530B"/>
    <w:rsid w:val="00094257"/>
    <w:rsid w:val="000B4B75"/>
    <w:rsid w:val="000B603C"/>
    <w:rsid w:val="000C12B0"/>
    <w:rsid w:val="000C1456"/>
    <w:rsid w:val="000C1D3C"/>
    <w:rsid w:val="000C560B"/>
    <w:rsid w:val="000D4C00"/>
    <w:rsid w:val="000D5AF8"/>
    <w:rsid w:val="000E1388"/>
    <w:rsid w:val="000E3953"/>
    <w:rsid w:val="000F035E"/>
    <w:rsid w:val="00101AF9"/>
    <w:rsid w:val="00121B5E"/>
    <w:rsid w:val="00147532"/>
    <w:rsid w:val="0015620E"/>
    <w:rsid w:val="0015779E"/>
    <w:rsid w:val="001865EC"/>
    <w:rsid w:val="001914AD"/>
    <w:rsid w:val="001A0A1C"/>
    <w:rsid w:val="001B00FE"/>
    <w:rsid w:val="001B303C"/>
    <w:rsid w:val="001D1C31"/>
    <w:rsid w:val="001D5949"/>
    <w:rsid w:val="001E023A"/>
    <w:rsid w:val="001E1DE6"/>
    <w:rsid w:val="00200985"/>
    <w:rsid w:val="00204993"/>
    <w:rsid w:val="002217E0"/>
    <w:rsid w:val="002234E1"/>
    <w:rsid w:val="002331F6"/>
    <w:rsid w:val="0023513B"/>
    <w:rsid w:val="00236F84"/>
    <w:rsid w:val="00237BD9"/>
    <w:rsid w:val="00242B2C"/>
    <w:rsid w:val="00244FCB"/>
    <w:rsid w:val="00257635"/>
    <w:rsid w:val="0027289B"/>
    <w:rsid w:val="00273BA2"/>
    <w:rsid w:val="00274BD1"/>
    <w:rsid w:val="002772B4"/>
    <w:rsid w:val="0029243B"/>
    <w:rsid w:val="00295591"/>
    <w:rsid w:val="00297268"/>
    <w:rsid w:val="002A68A0"/>
    <w:rsid w:val="002A7255"/>
    <w:rsid w:val="002C219A"/>
    <w:rsid w:val="002C317E"/>
    <w:rsid w:val="002C4C1E"/>
    <w:rsid w:val="002D0DF4"/>
    <w:rsid w:val="002E6273"/>
    <w:rsid w:val="002E7F50"/>
    <w:rsid w:val="002F19FE"/>
    <w:rsid w:val="002F749D"/>
    <w:rsid w:val="00317D3D"/>
    <w:rsid w:val="00324885"/>
    <w:rsid w:val="00333A00"/>
    <w:rsid w:val="0034064F"/>
    <w:rsid w:val="00345705"/>
    <w:rsid w:val="00345AEE"/>
    <w:rsid w:val="00351C48"/>
    <w:rsid w:val="00357785"/>
    <w:rsid w:val="00361EBF"/>
    <w:rsid w:val="00370719"/>
    <w:rsid w:val="003719FE"/>
    <w:rsid w:val="003726A3"/>
    <w:rsid w:val="00382C01"/>
    <w:rsid w:val="0038568D"/>
    <w:rsid w:val="00395210"/>
    <w:rsid w:val="00395840"/>
    <w:rsid w:val="00395F73"/>
    <w:rsid w:val="003A0BEA"/>
    <w:rsid w:val="003B7548"/>
    <w:rsid w:val="003D5879"/>
    <w:rsid w:val="003D7FBD"/>
    <w:rsid w:val="00404112"/>
    <w:rsid w:val="004135A5"/>
    <w:rsid w:val="0042138D"/>
    <w:rsid w:val="00427F1D"/>
    <w:rsid w:val="00441BEE"/>
    <w:rsid w:val="004455F6"/>
    <w:rsid w:val="00466DDA"/>
    <w:rsid w:val="004732BF"/>
    <w:rsid w:val="004844F5"/>
    <w:rsid w:val="004907DD"/>
    <w:rsid w:val="0049111C"/>
    <w:rsid w:val="004917DF"/>
    <w:rsid w:val="004A446A"/>
    <w:rsid w:val="004B0915"/>
    <w:rsid w:val="004B4393"/>
    <w:rsid w:val="004B48D5"/>
    <w:rsid w:val="004C17E0"/>
    <w:rsid w:val="004C3DF2"/>
    <w:rsid w:val="004C4FAF"/>
    <w:rsid w:val="004D0977"/>
    <w:rsid w:val="004D17A4"/>
    <w:rsid w:val="004D1D31"/>
    <w:rsid w:val="004D3687"/>
    <w:rsid w:val="004E7BBD"/>
    <w:rsid w:val="004F02F4"/>
    <w:rsid w:val="00502C2A"/>
    <w:rsid w:val="005079BA"/>
    <w:rsid w:val="00507BA9"/>
    <w:rsid w:val="005114E4"/>
    <w:rsid w:val="00512B49"/>
    <w:rsid w:val="005133EC"/>
    <w:rsid w:val="005145CA"/>
    <w:rsid w:val="00516923"/>
    <w:rsid w:val="00522806"/>
    <w:rsid w:val="00526380"/>
    <w:rsid w:val="00531BDB"/>
    <w:rsid w:val="0053339C"/>
    <w:rsid w:val="005347A6"/>
    <w:rsid w:val="00535EB8"/>
    <w:rsid w:val="0054280A"/>
    <w:rsid w:val="00544DFD"/>
    <w:rsid w:val="00554A57"/>
    <w:rsid w:val="005565DC"/>
    <w:rsid w:val="005640AC"/>
    <w:rsid w:val="0057240B"/>
    <w:rsid w:val="0057600A"/>
    <w:rsid w:val="0058310C"/>
    <w:rsid w:val="00590FCE"/>
    <w:rsid w:val="00592879"/>
    <w:rsid w:val="005978CF"/>
    <w:rsid w:val="005C061F"/>
    <w:rsid w:val="005C5D07"/>
    <w:rsid w:val="005D76F9"/>
    <w:rsid w:val="005E1528"/>
    <w:rsid w:val="005F4BA7"/>
    <w:rsid w:val="005F7060"/>
    <w:rsid w:val="005F7148"/>
    <w:rsid w:val="005F75F7"/>
    <w:rsid w:val="00601BBB"/>
    <w:rsid w:val="00602CAC"/>
    <w:rsid w:val="00610689"/>
    <w:rsid w:val="00624595"/>
    <w:rsid w:val="00633302"/>
    <w:rsid w:val="0063605F"/>
    <w:rsid w:val="00667F0E"/>
    <w:rsid w:val="00674CFE"/>
    <w:rsid w:val="006A1B17"/>
    <w:rsid w:val="006A5D9B"/>
    <w:rsid w:val="006B1F58"/>
    <w:rsid w:val="006C0A92"/>
    <w:rsid w:val="006C388C"/>
    <w:rsid w:val="006D26DD"/>
    <w:rsid w:val="006D7A86"/>
    <w:rsid w:val="006E51FE"/>
    <w:rsid w:val="006F3281"/>
    <w:rsid w:val="006F49AE"/>
    <w:rsid w:val="007113AB"/>
    <w:rsid w:val="00722ADC"/>
    <w:rsid w:val="00724F18"/>
    <w:rsid w:val="00724F61"/>
    <w:rsid w:val="00730E85"/>
    <w:rsid w:val="00733000"/>
    <w:rsid w:val="00733475"/>
    <w:rsid w:val="00747799"/>
    <w:rsid w:val="00747AA1"/>
    <w:rsid w:val="00751301"/>
    <w:rsid w:val="00752C15"/>
    <w:rsid w:val="0075323F"/>
    <w:rsid w:val="00756C40"/>
    <w:rsid w:val="0076180C"/>
    <w:rsid w:val="00762A55"/>
    <w:rsid w:val="00764571"/>
    <w:rsid w:val="00772F09"/>
    <w:rsid w:val="00791863"/>
    <w:rsid w:val="00791B34"/>
    <w:rsid w:val="007963E8"/>
    <w:rsid w:val="007A712A"/>
    <w:rsid w:val="007A7DD5"/>
    <w:rsid w:val="007B0561"/>
    <w:rsid w:val="007B666E"/>
    <w:rsid w:val="007C5333"/>
    <w:rsid w:val="007C6D83"/>
    <w:rsid w:val="007D13DB"/>
    <w:rsid w:val="007E20C7"/>
    <w:rsid w:val="007E2926"/>
    <w:rsid w:val="00806C20"/>
    <w:rsid w:val="008076E6"/>
    <w:rsid w:val="0082733E"/>
    <w:rsid w:val="0083269A"/>
    <w:rsid w:val="008427E3"/>
    <w:rsid w:val="00843CB2"/>
    <w:rsid w:val="00856914"/>
    <w:rsid w:val="008572A1"/>
    <w:rsid w:val="00870055"/>
    <w:rsid w:val="00871A89"/>
    <w:rsid w:val="0087707C"/>
    <w:rsid w:val="00882AA9"/>
    <w:rsid w:val="00897A03"/>
    <w:rsid w:val="008A0A47"/>
    <w:rsid w:val="008B48F2"/>
    <w:rsid w:val="008B56E9"/>
    <w:rsid w:val="008C3DF5"/>
    <w:rsid w:val="008C713B"/>
    <w:rsid w:val="008E0160"/>
    <w:rsid w:val="008E34D9"/>
    <w:rsid w:val="008E439C"/>
    <w:rsid w:val="008E5E1B"/>
    <w:rsid w:val="008E6328"/>
    <w:rsid w:val="009123AB"/>
    <w:rsid w:val="00913B4E"/>
    <w:rsid w:val="00915228"/>
    <w:rsid w:val="0092280D"/>
    <w:rsid w:val="009250F4"/>
    <w:rsid w:val="00927E36"/>
    <w:rsid w:val="00927EDD"/>
    <w:rsid w:val="00942D53"/>
    <w:rsid w:val="00965671"/>
    <w:rsid w:val="00966BD3"/>
    <w:rsid w:val="009756DF"/>
    <w:rsid w:val="00977E95"/>
    <w:rsid w:val="00993425"/>
    <w:rsid w:val="009C3098"/>
    <w:rsid w:val="009C799F"/>
    <w:rsid w:val="009D380E"/>
    <w:rsid w:val="009E0FBC"/>
    <w:rsid w:val="009E79BC"/>
    <w:rsid w:val="00A13CFB"/>
    <w:rsid w:val="00A14F9E"/>
    <w:rsid w:val="00A3116E"/>
    <w:rsid w:val="00A40B99"/>
    <w:rsid w:val="00A42790"/>
    <w:rsid w:val="00A53727"/>
    <w:rsid w:val="00A5412A"/>
    <w:rsid w:val="00A54B77"/>
    <w:rsid w:val="00A613D3"/>
    <w:rsid w:val="00A61B5C"/>
    <w:rsid w:val="00A71589"/>
    <w:rsid w:val="00A7378D"/>
    <w:rsid w:val="00A948D3"/>
    <w:rsid w:val="00A96315"/>
    <w:rsid w:val="00AA5DD0"/>
    <w:rsid w:val="00AB04C4"/>
    <w:rsid w:val="00AB34A6"/>
    <w:rsid w:val="00AB642C"/>
    <w:rsid w:val="00AC5280"/>
    <w:rsid w:val="00AD6ACE"/>
    <w:rsid w:val="00AE0A3E"/>
    <w:rsid w:val="00AE53E1"/>
    <w:rsid w:val="00AF014B"/>
    <w:rsid w:val="00AF4BF1"/>
    <w:rsid w:val="00B01C4C"/>
    <w:rsid w:val="00B05DFB"/>
    <w:rsid w:val="00B1241B"/>
    <w:rsid w:val="00B12907"/>
    <w:rsid w:val="00B17B8B"/>
    <w:rsid w:val="00B20DD8"/>
    <w:rsid w:val="00B250BE"/>
    <w:rsid w:val="00B454F9"/>
    <w:rsid w:val="00B45BBE"/>
    <w:rsid w:val="00B477ED"/>
    <w:rsid w:val="00B51FBE"/>
    <w:rsid w:val="00B52F0E"/>
    <w:rsid w:val="00B54766"/>
    <w:rsid w:val="00B55F34"/>
    <w:rsid w:val="00B63816"/>
    <w:rsid w:val="00B671D3"/>
    <w:rsid w:val="00B77EAD"/>
    <w:rsid w:val="00B811E5"/>
    <w:rsid w:val="00B856EA"/>
    <w:rsid w:val="00BA1769"/>
    <w:rsid w:val="00BA334C"/>
    <w:rsid w:val="00BD0CF7"/>
    <w:rsid w:val="00BD7908"/>
    <w:rsid w:val="00BE48C1"/>
    <w:rsid w:val="00BF2491"/>
    <w:rsid w:val="00BF448E"/>
    <w:rsid w:val="00C14270"/>
    <w:rsid w:val="00C27162"/>
    <w:rsid w:val="00C51DA9"/>
    <w:rsid w:val="00C61165"/>
    <w:rsid w:val="00C76847"/>
    <w:rsid w:val="00C77CBF"/>
    <w:rsid w:val="00C83526"/>
    <w:rsid w:val="00C86DBC"/>
    <w:rsid w:val="00C90C67"/>
    <w:rsid w:val="00C94AD2"/>
    <w:rsid w:val="00CA31A8"/>
    <w:rsid w:val="00CA3D87"/>
    <w:rsid w:val="00CA7F25"/>
    <w:rsid w:val="00CB1781"/>
    <w:rsid w:val="00CB34DB"/>
    <w:rsid w:val="00CB7330"/>
    <w:rsid w:val="00CC7178"/>
    <w:rsid w:val="00CD14CA"/>
    <w:rsid w:val="00CD3BC6"/>
    <w:rsid w:val="00CF674D"/>
    <w:rsid w:val="00D06CD9"/>
    <w:rsid w:val="00D10B43"/>
    <w:rsid w:val="00D159C5"/>
    <w:rsid w:val="00D23847"/>
    <w:rsid w:val="00D36FD7"/>
    <w:rsid w:val="00D41431"/>
    <w:rsid w:val="00D554E2"/>
    <w:rsid w:val="00D64883"/>
    <w:rsid w:val="00D657E3"/>
    <w:rsid w:val="00D65947"/>
    <w:rsid w:val="00D66F59"/>
    <w:rsid w:val="00D7085E"/>
    <w:rsid w:val="00D729EE"/>
    <w:rsid w:val="00D74E5C"/>
    <w:rsid w:val="00D84F83"/>
    <w:rsid w:val="00DA1DC6"/>
    <w:rsid w:val="00DA4539"/>
    <w:rsid w:val="00DA632A"/>
    <w:rsid w:val="00DB3EC1"/>
    <w:rsid w:val="00DB607A"/>
    <w:rsid w:val="00DC65C2"/>
    <w:rsid w:val="00DD4530"/>
    <w:rsid w:val="00DD7977"/>
    <w:rsid w:val="00DF6B39"/>
    <w:rsid w:val="00E138E2"/>
    <w:rsid w:val="00E157A4"/>
    <w:rsid w:val="00E27F41"/>
    <w:rsid w:val="00E3266C"/>
    <w:rsid w:val="00E335AF"/>
    <w:rsid w:val="00E403AF"/>
    <w:rsid w:val="00E71588"/>
    <w:rsid w:val="00E767BE"/>
    <w:rsid w:val="00E84465"/>
    <w:rsid w:val="00EA16BA"/>
    <w:rsid w:val="00EA3BE9"/>
    <w:rsid w:val="00EA4F60"/>
    <w:rsid w:val="00EA661D"/>
    <w:rsid w:val="00EA7C97"/>
    <w:rsid w:val="00EB39E7"/>
    <w:rsid w:val="00EB54D6"/>
    <w:rsid w:val="00EB7EDD"/>
    <w:rsid w:val="00EC5F5C"/>
    <w:rsid w:val="00ED5AB3"/>
    <w:rsid w:val="00EE0169"/>
    <w:rsid w:val="00EE7D8F"/>
    <w:rsid w:val="00EF0B32"/>
    <w:rsid w:val="00EF3D1F"/>
    <w:rsid w:val="00EF4E4E"/>
    <w:rsid w:val="00F05926"/>
    <w:rsid w:val="00F1214A"/>
    <w:rsid w:val="00F12AD2"/>
    <w:rsid w:val="00F17859"/>
    <w:rsid w:val="00F205BE"/>
    <w:rsid w:val="00F25515"/>
    <w:rsid w:val="00F25E9B"/>
    <w:rsid w:val="00F26DC9"/>
    <w:rsid w:val="00F272C9"/>
    <w:rsid w:val="00F32023"/>
    <w:rsid w:val="00F3685C"/>
    <w:rsid w:val="00F40798"/>
    <w:rsid w:val="00F42555"/>
    <w:rsid w:val="00F45013"/>
    <w:rsid w:val="00F4646A"/>
    <w:rsid w:val="00F5216F"/>
    <w:rsid w:val="00F5585E"/>
    <w:rsid w:val="00F574C9"/>
    <w:rsid w:val="00F71A92"/>
    <w:rsid w:val="00F8148D"/>
    <w:rsid w:val="00F84DC6"/>
    <w:rsid w:val="00F85EF6"/>
    <w:rsid w:val="00FB27CF"/>
    <w:rsid w:val="00FC0FDF"/>
    <w:rsid w:val="00FC7C8F"/>
    <w:rsid w:val="00FD4942"/>
    <w:rsid w:val="00FD7270"/>
    <w:rsid w:val="00FE3C87"/>
    <w:rsid w:val="00FF1668"/>
    <w:rsid w:val="00FF1DA2"/>
    <w:rsid w:val="00FF4C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E35B7"/>
  <w15:docId w15:val="{6500B556-D3FC-4413-A966-166717C30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91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B1781"/>
    <w:pPr>
      <w:keepNext/>
      <w:widowControl/>
      <w:tabs>
        <w:tab w:val="left" w:pos="5529"/>
      </w:tabs>
      <w:autoSpaceDE/>
      <w:autoSpaceDN/>
      <w:adjustRightInd/>
      <w:spacing w:line="360" w:lineRule="exact"/>
      <w:jc w:val="both"/>
      <w:outlineLvl w:val="0"/>
    </w:pPr>
    <w:rPr>
      <w:sz w:val="28"/>
    </w:rPr>
  </w:style>
  <w:style w:type="paragraph" w:styleId="2">
    <w:name w:val="heading 2"/>
    <w:basedOn w:val="a"/>
    <w:next w:val="a"/>
    <w:link w:val="20"/>
    <w:qFormat/>
    <w:rsid w:val="00CB1781"/>
    <w:pPr>
      <w:keepNext/>
      <w:widowControl/>
      <w:tabs>
        <w:tab w:val="left" w:pos="5387"/>
      </w:tabs>
      <w:autoSpaceDE/>
      <w:autoSpaceDN/>
      <w:adjustRightInd/>
      <w:snapToGrid w:val="0"/>
      <w:outlineLvl w:val="1"/>
    </w:pPr>
    <w:rPr>
      <w:sz w:val="28"/>
    </w:rPr>
  </w:style>
  <w:style w:type="paragraph" w:styleId="4">
    <w:name w:val="heading 4"/>
    <w:basedOn w:val="a"/>
    <w:next w:val="a"/>
    <w:link w:val="40"/>
    <w:qFormat/>
    <w:rsid w:val="00CB1781"/>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C3DF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_Минобрнауки"/>
    <w:basedOn w:val="a"/>
    <w:rsid w:val="004C3DF2"/>
    <w:pPr>
      <w:widowControl/>
      <w:autoSpaceDE/>
      <w:autoSpaceDN/>
      <w:adjustRightInd/>
      <w:spacing w:line="480" w:lineRule="auto"/>
      <w:jc w:val="center"/>
    </w:pPr>
    <w:rPr>
      <w:b/>
      <w:sz w:val="26"/>
      <w:szCs w:val="26"/>
    </w:rPr>
  </w:style>
  <w:style w:type="paragraph" w:customStyle="1" w:styleId="a5">
    <w:name w:val="_ВГУЭС"/>
    <w:basedOn w:val="a"/>
    <w:rsid w:val="004C3DF2"/>
    <w:pPr>
      <w:widowControl/>
      <w:autoSpaceDE/>
      <w:autoSpaceDN/>
      <w:adjustRightInd/>
      <w:jc w:val="center"/>
    </w:pPr>
    <w:rPr>
      <w:b/>
      <w:sz w:val="24"/>
      <w:szCs w:val="24"/>
    </w:rPr>
  </w:style>
  <w:style w:type="paragraph" w:customStyle="1" w:styleId="a6">
    <w:name w:val="_Приказ"/>
    <w:basedOn w:val="a"/>
    <w:rsid w:val="004C3DF2"/>
    <w:pPr>
      <w:widowControl/>
      <w:autoSpaceDE/>
      <w:autoSpaceDN/>
      <w:adjustRightInd/>
      <w:jc w:val="center"/>
    </w:pPr>
    <w:rPr>
      <w:b/>
      <w:sz w:val="26"/>
      <w:szCs w:val="26"/>
    </w:rPr>
  </w:style>
  <w:style w:type="paragraph" w:customStyle="1" w:styleId="a7">
    <w:name w:val="_Владивосток"/>
    <w:basedOn w:val="a"/>
    <w:rsid w:val="004C3DF2"/>
    <w:pPr>
      <w:widowControl/>
      <w:autoSpaceDE/>
      <w:autoSpaceDN/>
      <w:adjustRightInd/>
      <w:jc w:val="center"/>
    </w:pPr>
    <w:rPr>
      <w:b/>
      <w:sz w:val="26"/>
      <w:szCs w:val="26"/>
    </w:rPr>
  </w:style>
  <w:style w:type="paragraph" w:customStyle="1" w:styleId="a8">
    <w:name w:val="_Дата"/>
    <w:basedOn w:val="a"/>
    <w:rsid w:val="004C3DF2"/>
    <w:pPr>
      <w:widowControl/>
      <w:autoSpaceDE/>
      <w:autoSpaceDN/>
      <w:adjustRightInd/>
    </w:pPr>
    <w:rPr>
      <w:sz w:val="24"/>
      <w:szCs w:val="24"/>
    </w:rPr>
  </w:style>
  <w:style w:type="paragraph" w:customStyle="1" w:styleId="a9">
    <w:name w:val="_№ приказа"/>
    <w:basedOn w:val="a"/>
    <w:rsid w:val="004C3DF2"/>
    <w:pPr>
      <w:widowControl/>
      <w:autoSpaceDE/>
      <w:autoSpaceDN/>
      <w:adjustRightInd/>
      <w:ind w:right="284"/>
      <w:jc w:val="right"/>
    </w:pPr>
    <w:rPr>
      <w:sz w:val="24"/>
      <w:szCs w:val="24"/>
    </w:rPr>
  </w:style>
  <w:style w:type="paragraph" w:styleId="aa">
    <w:name w:val="List Paragraph"/>
    <w:basedOn w:val="a"/>
    <w:uiPriority w:val="34"/>
    <w:qFormat/>
    <w:rsid w:val="00441BEE"/>
    <w:pPr>
      <w:ind w:left="720"/>
      <w:contextualSpacing/>
    </w:pPr>
  </w:style>
  <w:style w:type="character" w:customStyle="1" w:styleId="10">
    <w:name w:val="Заголовок 1 Знак"/>
    <w:basedOn w:val="a0"/>
    <w:link w:val="1"/>
    <w:rsid w:val="00CB1781"/>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CB1781"/>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CB1781"/>
    <w:rPr>
      <w:rFonts w:ascii="Times New Roman" w:eastAsia="Times New Roman" w:hAnsi="Times New Roman" w:cs="Times New Roman"/>
      <w:b/>
      <w:bCs/>
      <w:sz w:val="28"/>
      <w:szCs w:val="28"/>
      <w:lang w:eastAsia="ru-RU"/>
    </w:rPr>
  </w:style>
  <w:style w:type="character" w:styleId="ab">
    <w:name w:val="Hyperlink"/>
    <w:basedOn w:val="a0"/>
    <w:uiPriority w:val="99"/>
    <w:unhideWhenUsed/>
    <w:rsid w:val="00333A00"/>
    <w:rPr>
      <w:color w:val="0000FF" w:themeColor="hyperlink"/>
      <w:u w:val="single"/>
    </w:rPr>
  </w:style>
  <w:style w:type="paragraph" w:styleId="ac">
    <w:name w:val="Balloon Text"/>
    <w:basedOn w:val="a"/>
    <w:link w:val="ad"/>
    <w:uiPriority w:val="99"/>
    <w:semiHidden/>
    <w:unhideWhenUsed/>
    <w:rsid w:val="00B17B8B"/>
    <w:rPr>
      <w:rFonts w:ascii="Tahoma" w:hAnsi="Tahoma" w:cs="Tahoma"/>
      <w:sz w:val="16"/>
      <w:szCs w:val="16"/>
    </w:rPr>
  </w:style>
  <w:style w:type="character" w:customStyle="1" w:styleId="ad">
    <w:name w:val="Текст выноски Знак"/>
    <w:basedOn w:val="a0"/>
    <w:link w:val="ac"/>
    <w:uiPriority w:val="99"/>
    <w:semiHidden/>
    <w:rsid w:val="00B17B8B"/>
    <w:rPr>
      <w:rFonts w:ascii="Tahoma" w:eastAsia="Times New Roman" w:hAnsi="Tahoma" w:cs="Tahoma"/>
      <w:sz w:val="16"/>
      <w:szCs w:val="16"/>
      <w:lang w:eastAsia="ru-RU"/>
    </w:rPr>
  </w:style>
  <w:style w:type="paragraph" w:styleId="ae">
    <w:name w:val="header"/>
    <w:basedOn w:val="a"/>
    <w:link w:val="af"/>
    <w:uiPriority w:val="99"/>
    <w:unhideWhenUsed/>
    <w:rsid w:val="00AF014B"/>
    <w:pPr>
      <w:tabs>
        <w:tab w:val="center" w:pos="4677"/>
        <w:tab w:val="right" w:pos="9355"/>
      </w:tabs>
    </w:pPr>
  </w:style>
  <w:style w:type="character" w:customStyle="1" w:styleId="af">
    <w:name w:val="Верхний колонтитул Знак"/>
    <w:basedOn w:val="a0"/>
    <w:link w:val="ae"/>
    <w:uiPriority w:val="99"/>
    <w:rsid w:val="00AF014B"/>
    <w:rPr>
      <w:rFonts w:ascii="Times New Roman" w:eastAsia="Times New Roman" w:hAnsi="Times New Roman" w:cs="Times New Roman"/>
      <w:sz w:val="20"/>
      <w:szCs w:val="20"/>
      <w:lang w:eastAsia="ru-RU"/>
    </w:rPr>
  </w:style>
  <w:style w:type="paragraph" w:styleId="af0">
    <w:name w:val="footer"/>
    <w:basedOn w:val="a"/>
    <w:link w:val="af1"/>
    <w:uiPriority w:val="99"/>
    <w:unhideWhenUsed/>
    <w:rsid w:val="00AF014B"/>
    <w:pPr>
      <w:tabs>
        <w:tab w:val="center" w:pos="4677"/>
        <w:tab w:val="right" w:pos="9355"/>
      </w:tabs>
    </w:pPr>
  </w:style>
  <w:style w:type="character" w:customStyle="1" w:styleId="af1">
    <w:name w:val="Нижний колонтитул Знак"/>
    <w:basedOn w:val="a0"/>
    <w:link w:val="af0"/>
    <w:uiPriority w:val="99"/>
    <w:rsid w:val="00AF014B"/>
    <w:rPr>
      <w:rFonts w:ascii="Times New Roman" w:eastAsia="Times New Roman" w:hAnsi="Times New Roman" w:cs="Times New Roman"/>
      <w:sz w:val="20"/>
      <w:szCs w:val="20"/>
      <w:lang w:eastAsia="ru-RU"/>
    </w:rPr>
  </w:style>
  <w:style w:type="character" w:styleId="af2">
    <w:name w:val="Unresolved Mention"/>
    <w:basedOn w:val="a0"/>
    <w:uiPriority w:val="99"/>
    <w:semiHidden/>
    <w:unhideWhenUsed/>
    <w:rsid w:val="0034064F"/>
    <w:rPr>
      <w:color w:val="605E5C"/>
      <w:shd w:val="clear" w:color="auto" w:fill="E1DFDD"/>
    </w:rPr>
  </w:style>
  <w:style w:type="paragraph" w:styleId="af3">
    <w:name w:val="footnote text"/>
    <w:basedOn w:val="a"/>
    <w:link w:val="af4"/>
    <w:uiPriority w:val="99"/>
    <w:semiHidden/>
    <w:unhideWhenUsed/>
    <w:rsid w:val="0034064F"/>
  </w:style>
  <w:style w:type="character" w:customStyle="1" w:styleId="af4">
    <w:name w:val="Текст сноски Знак"/>
    <w:basedOn w:val="a0"/>
    <w:link w:val="af3"/>
    <w:uiPriority w:val="99"/>
    <w:semiHidden/>
    <w:rsid w:val="0034064F"/>
    <w:rPr>
      <w:rFonts w:ascii="Times New Roman" w:eastAsia="Times New Roman" w:hAnsi="Times New Roman" w:cs="Times New Roman"/>
      <w:sz w:val="20"/>
      <w:szCs w:val="20"/>
      <w:lang w:eastAsia="ru-RU"/>
    </w:rPr>
  </w:style>
  <w:style w:type="character" w:styleId="af5">
    <w:name w:val="footnote reference"/>
    <w:basedOn w:val="a0"/>
    <w:uiPriority w:val="99"/>
    <w:semiHidden/>
    <w:unhideWhenUsed/>
    <w:rsid w:val="0034064F"/>
    <w:rPr>
      <w:vertAlign w:val="superscript"/>
    </w:rPr>
  </w:style>
  <w:style w:type="character" w:styleId="af6">
    <w:name w:val="annotation reference"/>
    <w:basedOn w:val="a0"/>
    <w:uiPriority w:val="99"/>
    <w:semiHidden/>
    <w:unhideWhenUsed/>
    <w:rsid w:val="001B303C"/>
    <w:rPr>
      <w:sz w:val="16"/>
      <w:szCs w:val="16"/>
    </w:rPr>
  </w:style>
  <w:style w:type="paragraph" w:styleId="af7">
    <w:name w:val="annotation text"/>
    <w:basedOn w:val="a"/>
    <w:link w:val="af8"/>
    <w:uiPriority w:val="99"/>
    <w:semiHidden/>
    <w:unhideWhenUsed/>
    <w:rsid w:val="001B303C"/>
  </w:style>
  <w:style w:type="character" w:customStyle="1" w:styleId="af8">
    <w:name w:val="Текст примечания Знак"/>
    <w:basedOn w:val="a0"/>
    <w:link w:val="af7"/>
    <w:uiPriority w:val="99"/>
    <w:semiHidden/>
    <w:rsid w:val="001B303C"/>
    <w:rPr>
      <w:rFonts w:ascii="Times New Roman" w:eastAsia="Times New Roman" w:hAnsi="Times New Roman" w:cs="Times New Roman"/>
      <w:sz w:val="20"/>
      <w:szCs w:val="20"/>
      <w:lang w:eastAsia="ru-RU"/>
    </w:rPr>
  </w:style>
  <w:style w:type="paragraph" w:styleId="af9">
    <w:name w:val="annotation subject"/>
    <w:basedOn w:val="af7"/>
    <w:next w:val="af7"/>
    <w:link w:val="afa"/>
    <w:uiPriority w:val="99"/>
    <w:semiHidden/>
    <w:unhideWhenUsed/>
    <w:rsid w:val="001B303C"/>
    <w:rPr>
      <w:b/>
      <w:bCs/>
    </w:rPr>
  </w:style>
  <w:style w:type="character" w:customStyle="1" w:styleId="afa">
    <w:name w:val="Тема примечания Знак"/>
    <w:basedOn w:val="af8"/>
    <w:link w:val="af9"/>
    <w:uiPriority w:val="99"/>
    <w:semiHidden/>
    <w:rsid w:val="001B303C"/>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87748">
      <w:bodyDiv w:val="1"/>
      <w:marLeft w:val="0"/>
      <w:marRight w:val="0"/>
      <w:marTop w:val="0"/>
      <w:marBottom w:val="0"/>
      <w:divBdr>
        <w:top w:val="none" w:sz="0" w:space="0" w:color="auto"/>
        <w:left w:val="none" w:sz="0" w:space="0" w:color="auto"/>
        <w:bottom w:val="none" w:sz="0" w:space="0" w:color="auto"/>
        <w:right w:val="none" w:sz="0" w:space="0" w:color="auto"/>
      </w:divBdr>
    </w:div>
    <w:div w:id="151146989">
      <w:bodyDiv w:val="1"/>
      <w:marLeft w:val="0"/>
      <w:marRight w:val="0"/>
      <w:marTop w:val="0"/>
      <w:marBottom w:val="0"/>
      <w:divBdr>
        <w:top w:val="none" w:sz="0" w:space="0" w:color="auto"/>
        <w:left w:val="none" w:sz="0" w:space="0" w:color="auto"/>
        <w:bottom w:val="none" w:sz="0" w:space="0" w:color="auto"/>
        <w:right w:val="none" w:sz="0" w:space="0" w:color="auto"/>
      </w:divBdr>
    </w:div>
    <w:div w:id="152378119">
      <w:bodyDiv w:val="1"/>
      <w:marLeft w:val="0"/>
      <w:marRight w:val="0"/>
      <w:marTop w:val="0"/>
      <w:marBottom w:val="0"/>
      <w:divBdr>
        <w:top w:val="none" w:sz="0" w:space="0" w:color="auto"/>
        <w:left w:val="none" w:sz="0" w:space="0" w:color="auto"/>
        <w:bottom w:val="none" w:sz="0" w:space="0" w:color="auto"/>
        <w:right w:val="none" w:sz="0" w:space="0" w:color="auto"/>
      </w:divBdr>
    </w:div>
    <w:div w:id="208078472">
      <w:bodyDiv w:val="1"/>
      <w:marLeft w:val="0"/>
      <w:marRight w:val="0"/>
      <w:marTop w:val="0"/>
      <w:marBottom w:val="0"/>
      <w:divBdr>
        <w:top w:val="none" w:sz="0" w:space="0" w:color="auto"/>
        <w:left w:val="none" w:sz="0" w:space="0" w:color="auto"/>
        <w:bottom w:val="none" w:sz="0" w:space="0" w:color="auto"/>
        <w:right w:val="none" w:sz="0" w:space="0" w:color="auto"/>
      </w:divBdr>
    </w:div>
    <w:div w:id="265624625">
      <w:bodyDiv w:val="1"/>
      <w:marLeft w:val="0"/>
      <w:marRight w:val="0"/>
      <w:marTop w:val="0"/>
      <w:marBottom w:val="0"/>
      <w:divBdr>
        <w:top w:val="none" w:sz="0" w:space="0" w:color="auto"/>
        <w:left w:val="none" w:sz="0" w:space="0" w:color="auto"/>
        <w:bottom w:val="none" w:sz="0" w:space="0" w:color="auto"/>
        <w:right w:val="none" w:sz="0" w:space="0" w:color="auto"/>
      </w:divBdr>
    </w:div>
    <w:div w:id="267349133">
      <w:bodyDiv w:val="1"/>
      <w:marLeft w:val="0"/>
      <w:marRight w:val="0"/>
      <w:marTop w:val="0"/>
      <w:marBottom w:val="0"/>
      <w:divBdr>
        <w:top w:val="none" w:sz="0" w:space="0" w:color="auto"/>
        <w:left w:val="none" w:sz="0" w:space="0" w:color="auto"/>
        <w:bottom w:val="none" w:sz="0" w:space="0" w:color="auto"/>
        <w:right w:val="none" w:sz="0" w:space="0" w:color="auto"/>
      </w:divBdr>
    </w:div>
    <w:div w:id="290212289">
      <w:bodyDiv w:val="1"/>
      <w:marLeft w:val="0"/>
      <w:marRight w:val="0"/>
      <w:marTop w:val="0"/>
      <w:marBottom w:val="0"/>
      <w:divBdr>
        <w:top w:val="none" w:sz="0" w:space="0" w:color="auto"/>
        <w:left w:val="none" w:sz="0" w:space="0" w:color="auto"/>
        <w:bottom w:val="none" w:sz="0" w:space="0" w:color="auto"/>
        <w:right w:val="none" w:sz="0" w:space="0" w:color="auto"/>
      </w:divBdr>
    </w:div>
    <w:div w:id="296182711">
      <w:bodyDiv w:val="1"/>
      <w:marLeft w:val="0"/>
      <w:marRight w:val="0"/>
      <w:marTop w:val="0"/>
      <w:marBottom w:val="0"/>
      <w:divBdr>
        <w:top w:val="none" w:sz="0" w:space="0" w:color="auto"/>
        <w:left w:val="none" w:sz="0" w:space="0" w:color="auto"/>
        <w:bottom w:val="none" w:sz="0" w:space="0" w:color="auto"/>
        <w:right w:val="none" w:sz="0" w:space="0" w:color="auto"/>
      </w:divBdr>
    </w:div>
    <w:div w:id="323976454">
      <w:bodyDiv w:val="1"/>
      <w:marLeft w:val="0"/>
      <w:marRight w:val="0"/>
      <w:marTop w:val="0"/>
      <w:marBottom w:val="0"/>
      <w:divBdr>
        <w:top w:val="none" w:sz="0" w:space="0" w:color="auto"/>
        <w:left w:val="none" w:sz="0" w:space="0" w:color="auto"/>
        <w:bottom w:val="none" w:sz="0" w:space="0" w:color="auto"/>
        <w:right w:val="none" w:sz="0" w:space="0" w:color="auto"/>
      </w:divBdr>
    </w:div>
    <w:div w:id="361902435">
      <w:bodyDiv w:val="1"/>
      <w:marLeft w:val="0"/>
      <w:marRight w:val="0"/>
      <w:marTop w:val="0"/>
      <w:marBottom w:val="0"/>
      <w:divBdr>
        <w:top w:val="none" w:sz="0" w:space="0" w:color="auto"/>
        <w:left w:val="none" w:sz="0" w:space="0" w:color="auto"/>
        <w:bottom w:val="none" w:sz="0" w:space="0" w:color="auto"/>
        <w:right w:val="none" w:sz="0" w:space="0" w:color="auto"/>
      </w:divBdr>
    </w:div>
    <w:div w:id="374165420">
      <w:bodyDiv w:val="1"/>
      <w:marLeft w:val="0"/>
      <w:marRight w:val="0"/>
      <w:marTop w:val="0"/>
      <w:marBottom w:val="0"/>
      <w:divBdr>
        <w:top w:val="none" w:sz="0" w:space="0" w:color="auto"/>
        <w:left w:val="none" w:sz="0" w:space="0" w:color="auto"/>
        <w:bottom w:val="none" w:sz="0" w:space="0" w:color="auto"/>
        <w:right w:val="none" w:sz="0" w:space="0" w:color="auto"/>
      </w:divBdr>
    </w:div>
    <w:div w:id="374887258">
      <w:bodyDiv w:val="1"/>
      <w:marLeft w:val="0"/>
      <w:marRight w:val="0"/>
      <w:marTop w:val="0"/>
      <w:marBottom w:val="0"/>
      <w:divBdr>
        <w:top w:val="none" w:sz="0" w:space="0" w:color="auto"/>
        <w:left w:val="none" w:sz="0" w:space="0" w:color="auto"/>
        <w:bottom w:val="none" w:sz="0" w:space="0" w:color="auto"/>
        <w:right w:val="none" w:sz="0" w:space="0" w:color="auto"/>
      </w:divBdr>
    </w:div>
    <w:div w:id="381177690">
      <w:bodyDiv w:val="1"/>
      <w:marLeft w:val="0"/>
      <w:marRight w:val="0"/>
      <w:marTop w:val="0"/>
      <w:marBottom w:val="0"/>
      <w:divBdr>
        <w:top w:val="none" w:sz="0" w:space="0" w:color="auto"/>
        <w:left w:val="none" w:sz="0" w:space="0" w:color="auto"/>
        <w:bottom w:val="none" w:sz="0" w:space="0" w:color="auto"/>
        <w:right w:val="none" w:sz="0" w:space="0" w:color="auto"/>
      </w:divBdr>
    </w:div>
    <w:div w:id="414324340">
      <w:bodyDiv w:val="1"/>
      <w:marLeft w:val="0"/>
      <w:marRight w:val="0"/>
      <w:marTop w:val="0"/>
      <w:marBottom w:val="0"/>
      <w:divBdr>
        <w:top w:val="none" w:sz="0" w:space="0" w:color="auto"/>
        <w:left w:val="none" w:sz="0" w:space="0" w:color="auto"/>
        <w:bottom w:val="none" w:sz="0" w:space="0" w:color="auto"/>
        <w:right w:val="none" w:sz="0" w:space="0" w:color="auto"/>
      </w:divBdr>
    </w:div>
    <w:div w:id="458381239">
      <w:bodyDiv w:val="1"/>
      <w:marLeft w:val="0"/>
      <w:marRight w:val="0"/>
      <w:marTop w:val="0"/>
      <w:marBottom w:val="0"/>
      <w:divBdr>
        <w:top w:val="none" w:sz="0" w:space="0" w:color="auto"/>
        <w:left w:val="none" w:sz="0" w:space="0" w:color="auto"/>
        <w:bottom w:val="none" w:sz="0" w:space="0" w:color="auto"/>
        <w:right w:val="none" w:sz="0" w:space="0" w:color="auto"/>
      </w:divBdr>
    </w:div>
    <w:div w:id="477498788">
      <w:bodyDiv w:val="1"/>
      <w:marLeft w:val="0"/>
      <w:marRight w:val="0"/>
      <w:marTop w:val="0"/>
      <w:marBottom w:val="0"/>
      <w:divBdr>
        <w:top w:val="none" w:sz="0" w:space="0" w:color="auto"/>
        <w:left w:val="none" w:sz="0" w:space="0" w:color="auto"/>
        <w:bottom w:val="none" w:sz="0" w:space="0" w:color="auto"/>
        <w:right w:val="none" w:sz="0" w:space="0" w:color="auto"/>
      </w:divBdr>
    </w:div>
    <w:div w:id="490679626">
      <w:bodyDiv w:val="1"/>
      <w:marLeft w:val="0"/>
      <w:marRight w:val="0"/>
      <w:marTop w:val="0"/>
      <w:marBottom w:val="0"/>
      <w:divBdr>
        <w:top w:val="none" w:sz="0" w:space="0" w:color="auto"/>
        <w:left w:val="none" w:sz="0" w:space="0" w:color="auto"/>
        <w:bottom w:val="none" w:sz="0" w:space="0" w:color="auto"/>
        <w:right w:val="none" w:sz="0" w:space="0" w:color="auto"/>
      </w:divBdr>
    </w:div>
    <w:div w:id="497112803">
      <w:bodyDiv w:val="1"/>
      <w:marLeft w:val="0"/>
      <w:marRight w:val="0"/>
      <w:marTop w:val="0"/>
      <w:marBottom w:val="0"/>
      <w:divBdr>
        <w:top w:val="none" w:sz="0" w:space="0" w:color="auto"/>
        <w:left w:val="none" w:sz="0" w:space="0" w:color="auto"/>
        <w:bottom w:val="none" w:sz="0" w:space="0" w:color="auto"/>
        <w:right w:val="none" w:sz="0" w:space="0" w:color="auto"/>
      </w:divBdr>
    </w:div>
    <w:div w:id="554633056">
      <w:bodyDiv w:val="1"/>
      <w:marLeft w:val="0"/>
      <w:marRight w:val="0"/>
      <w:marTop w:val="0"/>
      <w:marBottom w:val="0"/>
      <w:divBdr>
        <w:top w:val="none" w:sz="0" w:space="0" w:color="auto"/>
        <w:left w:val="none" w:sz="0" w:space="0" w:color="auto"/>
        <w:bottom w:val="none" w:sz="0" w:space="0" w:color="auto"/>
        <w:right w:val="none" w:sz="0" w:space="0" w:color="auto"/>
      </w:divBdr>
    </w:div>
    <w:div w:id="583342800">
      <w:bodyDiv w:val="1"/>
      <w:marLeft w:val="0"/>
      <w:marRight w:val="0"/>
      <w:marTop w:val="0"/>
      <w:marBottom w:val="0"/>
      <w:divBdr>
        <w:top w:val="none" w:sz="0" w:space="0" w:color="auto"/>
        <w:left w:val="none" w:sz="0" w:space="0" w:color="auto"/>
        <w:bottom w:val="none" w:sz="0" w:space="0" w:color="auto"/>
        <w:right w:val="none" w:sz="0" w:space="0" w:color="auto"/>
      </w:divBdr>
    </w:div>
    <w:div w:id="600650411">
      <w:bodyDiv w:val="1"/>
      <w:marLeft w:val="0"/>
      <w:marRight w:val="0"/>
      <w:marTop w:val="0"/>
      <w:marBottom w:val="0"/>
      <w:divBdr>
        <w:top w:val="none" w:sz="0" w:space="0" w:color="auto"/>
        <w:left w:val="none" w:sz="0" w:space="0" w:color="auto"/>
        <w:bottom w:val="none" w:sz="0" w:space="0" w:color="auto"/>
        <w:right w:val="none" w:sz="0" w:space="0" w:color="auto"/>
      </w:divBdr>
    </w:div>
    <w:div w:id="607855347">
      <w:bodyDiv w:val="1"/>
      <w:marLeft w:val="0"/>
      <w:marRight w:val="0"/>
      <w:marTop w:val="0"/>
      <w:marBottom w:val="0"/>
      <w:divBdr>
        <w:top w:val="none" w:sz="0" w:space="0" w:color="auto"/>
        <w:left w:val="none" w:sz="0" w:space="0" w:color="auto"/>
        <w:bottom w:val="none" w:sz="0" w:space="0" w:color="auto"/>
        <w:right w:val="none" w:sz="0" w:space="0" w:color="auto"/>
      </w:divBdr>
    </w:div>
    <w:div w:id="721755651">
      <w:bodyDiv w:val="1"/>
      <w:marLeft w:val="0"/>
      <w:marRight w:val="0"/>
      <w:marTop w:val="0"/>
      <w:marBottom w:val="0"/>
      <w:divBdr>
        <w:top w:val="none" w:sz="0" w:space="0" w:color="auto"/>
        <w:left w:val="none" w:sz="0" w:space="0" w:color="auto"/>
        <w:bottom w:val="none" w:sz="0" w:space="0" w:color="auto"/>
        <w:right w:val="none" w:sz="0" w:space="0" w:color="auto"/>
      </w:divBdr>
    </w:div>
    <w:div w:id="746805151">
      <w:bodyDiv w:val="1"/>
      <w:marLeft w:val="0"/>
      <w:marRight w:val="0"/>
      <w:marTop w:val="0"/>
      <w:marBottom w:val="0"/>
      <w:divBdr>
        <w:top w:val="none" w:sz="0" w:space="0" w:color="auto"/>
        <w:left w:val="none" w:sz="0" w:space="0" w:color="auto"/>
        <w:bottom w:val="none" w:sz="0" w:space="0" w:color="auto"/>
        <w:right w:val="none" w:sz="0" w:space="0" w:color="auto"/>
      </w:divBdr>
    </w:div>
    <w:div w:id="815607282">
      <w:bodyDiv w:val="1"/>
      <w:marLeft w:val="0"/>
      <w:marRight w:val="0"/>
      <w:marTop w:val="0"/>
      <w:marBottom w:val="0"/>
      <w:divBdr>
        <w:top w:val="none" w:sz="0" w:space="0" w:color="auto"/>
        <w:left w:val="none" w:sz="0" w:space="0" w:color="auto"/>
        <w:bottom w:val="none" w:sz="0" w:space="0" w:color="auto"/>
        <w:right w:val="none" w:sz="0" w:space="0" w:color="auto"/>
      </w:divBdr>
    </w:div>
    <w:div w:id="915434301">
      <w:bodyDiv w:val="1"/>
      <w:marLeft w:val="0"/>
      <w:marRight w:val="0"/>
      <w:marTop w:val="0"/>
      <w:marBottom w:val="0"/>
      <w:divBdr>
        <w:top w:val="none" w:sz="0" w:space="0" w:color="auto"/>
        <w:left w:val="none" w:sz="0" w:space="0" w:color="auto"/>
        <w:bottom w:val="none" w:sz="0" w:space="0" w:color="auto"/>
        <w:right w:val="none" w:sz="0" w:space="0" w:color="auto"/>
      </w:divBdr>
    </w:div>
    <w:div w:id="929311732">
      <w:bodyDiv w:val="1"/>
      <w:marLeft w:val="0"/>
      <w:marRight w:val="0"/>
      <w:marTop w:val="0"/>
      <w:marBottom w:val="0"/>
      <w:divBdr>
        <w:top w:val="none" w:sz="0" w:space="0" w:color="auto"/>
        <w:left w:val="none" w:sz="0" w:space="0" w:color="auto"/>
        <w:bottom w:val="none" w:sz="0" w:space="0" w:color="auto"/>
        <w:right w:val="none" w:sz="0" w:space="0" w:color="auto"/>
      </w:divBdr>
    </w:div>
    <w:div w:id="1009798847">
      <w:bodyDiv w:val="1"/>
      <w:marLeft w:val="0"/>
      <w:marRight w:val="0"/>
      <w:marTop w:val="0"/>
      <w:marBottom w:val="0"/>
      <w:divBdr>
        <w:top w:val="none" w:sz="0" w:space="0" w:color="auto"/>
        <w:left w:val="none" w:sz="0" w:space="0" w:color="auto"/>
        <w:bottom w:val="none" w:sz="0" w:space="0" w:color="auto"/>
        <w:right w:val="none" w:sz="0" w:space="0" w:color="auto"/>
      </w:divBdr>
    </w:div>
    <w:div w:id="1024014079">
      <w:bodyDiv w:val="1"/>
      <w:marLeft w:val="0"/>
      <w:marRight w:val="0"/>
      <w:marTop w:val="0"/>
      <w:marBottom w:val="0"/>
      <w:divBdr>
        <w:top w:val="none" w:sz="0" w:space="0" w:color="auto"/>
        <w:left w:val="none" w:sz="0" w:space="0" w:color="auto"/>
        <w:bottom w:val="none" w:sz="0" w:space="0" w:color="auto"/>
        <w:right w:val="none" w:sz="0" w:space="0" w:color="auto"/>
      </w:divBdr>
    </w:div>
    <w:div w:id="1041637079">
      <w:bodyDiv w:val="1"/>
      <w:marLeft w:val="0"/>
      <w:marRight w:val="0"/>
      <w:marTop w:val="0"/>
      <w:marBottom w:val="0"/>
      <w:divBdr>
        <w:top w:val="none" w:sz="0" w:space="0" w:color="auto"/>
        <w:left w:val="none" w:sz="0" w:space="0" w:color="auto"/>
        <w:bottom w:val="none" w:sz="0" w:space="0" w:color="auto"/>
        <w:right w:val="none" w:sz="0" w:space="0" w:color="auto"/>
      </w:divBdr>
    </w:div>
    <w:div w:id="1101216719">
      <w:bodyDiv w:val="1"/>
      <w:marLeft w:val="0"/>
      <w:marRight w:val="0"/>
      <w:marTop w:val="0"/>
      <w:marBottom w:val="0"/>
      <w:divBdr>
        <w:top w:val="none" w:sz="0" w:space="0" w:color="auto"/>
        <w:left w:val="none" w:sz="0" w:space="0" w:color="auto"/>
        <w:bottom w:val="none" w:sz="0" w:space="0" w:color="auto"/>
        <w:right w:val="none" w:sz="0" w:space="0" w:color="auto"/>
      </w:divBdr>
    </w:div>
    <w:div w:id="1131245562">
      <w:bodyDiv w:val="1"/>
      <w:marLeft w:val="0"/>
      <w:marRight w:val="0"/>
      <w:marTop w:val="0"/>
      <w:marBottom w:val="0"/>
      <w:divBdr>
        <w:top w:val="none" w:sz="0" w:space="0" w:color="auto"/>
        <w:left w:val="none" w:sz="0" w:space="0" w:color="auto"/>
        <w:bottom w:val="none" w:sz="0" w:space="0" w:color="auto"/>
        <w:right w:val="none" w:sz="0" w:space="0" w:color="auto"/>
      </w:divBdr>
    </w:div>
    <w:div w:id="1204320896">
      <w:bodyDiv w:val="1"/>
      <w:marLeft w:val="0"/>
      <w:marRight w:val="0"/>
      <w:marTop w:val="0"/>
      <w:marBottom w:val="0"/>
      <w:divBdr>
        <w:top w:val="none" w:sz="0" w:space="0" w:color="auto"/>
        <w:left w:val="none" w:sz="0" w:space="0" w:color="auto"/>
        <w:bottom w:val="none" w:sz="0" w:space="0" w:color="auto"/>
        <w:right w:val="none" w:sz="0" w:space="0" w:color="auto"/>
      </w:divBdr>
    </w:div>
    <w:div w:id="1205676309">
      <w:bodyDiv w:val="1"/>
      <w:marLeft w:val="0"/>
      <w:marRight w:val="0"/>
      <w:marTop w:val="0"/>
      <w:marBottom w:val="0"/>
      <w:divBdr>
        <w:top w:val="none" w:sz="0" w:space="0" w:color="auto"/>
        <w:left w:val="none" w:sz="0" w:space="0" w:color="auto"/>
        <w:bottom w:val="none" w:sz="0" w:space="0" w:color="auto"/>
        <w:right w:val="none" w:sz="0" w:space="0" w:color="auto"/>
      </w:divBdr>
    </w:div>
    <w:div w:id="1359575848">
      <w:bodyDiv w:val="1"/>
      <w:marLeft w:val="0"/>
      <w:marRight w:val="0"/>
      <w:marTop w:val="0"/>
      <w:marBottom w:val="0"/>
      <w:divBdr>
        <w:top w:val="none" w:sz="0" w:space="0" w:color="auto"/>
        <w:left w:val="none" w:sz="0" w:space="0" w:color="auto"/>
        <w:bottom w:val="none" w:sz="0" w:space="0" w:color="auto"/>
        <w:right w:val="none" w:sz="0" w:space="0" w:color="auto"/>
      </w:divBdr>
    </w:div>
    <w:div w:id="1376586401">
      <w:bodyDiv w:val="1"/>
      <w:marLeft w:val="0"/>
      <w:marRight w:val="0"/>
      <w:marTop w:val="0"/>
      <w:marBottom w:val="0"/>
      <w:divBdr>
        <w:top w:val="none" w:sz="0" w:space="0" w:color="auto"/>
        <w:left w:val="none" w:sz="0" w:space="0" w:color="auto"/>
        <w:bottom w:val="none" w:sz="0" w:space="0" w:color="auto"/>
        <w:right w:val="none" w:sz="0" w:space="0" w:color="auto"/>
      </w:divBdr>
    </w:div>
    <w:div w:id="1385451791">
      <w:bodyDiv w:val="1"/>
      <w:marLeft w:val="0"/>
      <w:marRight w:val="0"/>
      <w:marTop w:val="0"/>
      <w:marBottom w:val="0"/>
      <w:divBdr>
        <w:top w:val="none" w:sz="0" w:space="0" w:color="auto"/>
        <w:left w:val="none" w:sz="0" w:space="0" w:color="auto"/>
        <w:bottom w:val="none" w:sz="0" w:space="0" w:color="auto"/>
        <w:right w:val="none" w:sz="0" w:space="0" w:color="auto"/>
      </w:divBdr>
    </w:div>
    <w:div w:id="1390497962">
      <w:bodyDiv w:val="1"/>
      <w:marLeft w:val="0"/>
      <w:marRight w:val="0"/>
      <w:marTop w:val="0"/>
      <w:marBottom w:val="0"/>
      <w:divBdr>
        <w:top w:val="none" w:sz="0" w:space="0" w:color="auto"/>
        <w:left w:val="none" w:sz="0" w:space="0" w:color="auto"/>
        <w:bottom w:val="none" w:sz="0" w:space="0" w:color="auto"/>
        <w:right w:val="none" w:sz="0" w:space="0" w:color="auto"/>
      </w:divBdr>
    </w:div>
    <w:div w:id="1404836853">
      <w:bodyDiv w:val="1"/>
      <w:marLeft w:val="0"/>
      <w:marRight w:val="0"/>
      <w:marTop w:val="0"/>
      <w:marBottom w:val="0"/>
      <w:divBdr>
        <w:top w:val="none" w:sz="0" w:space="0" w:color="auto"/>
        <w:left w:val="none" w:sz="0" w:space="0" w:color="auto"/>
        <w:bottom w:val="none" w:sz="0" w:space="0" w:color="auto"/>
        <w:right w:val="none" w:sz="0" w:space="0" w:color="auto"/>
      </w:divBdr>
    </w:div>
    <w:div w:id="1424254059">
      <w:bodyDiv w:val="1"/>
      <w:marLeft w:val="0"/>
      <w:marRight w:val="0"/>
      <w:marTop w:val="0"/>
      <w:marBottom w:val="0"/>
      <w:divBdr>
        <w:top w:val="none" w:sz="0" w:space="0" w:color="auto"/>
        <w:left w:val="none" w:sz="0" w:space="0" w:color="auto"/>
        <w:bottom w:val="none" w:sz="0" w:space="0" w:color="auto"/>
        <w:right w:val="none" w:sz="0" w:space="0" w:color="auto"/>
      </w:divBdr>
    </w:div>
    <w:div w:id="1456288878">
      <w:bodyDiv w:val="1"/>
      <w:marLeft w:val="0"/>
      <w:marRight w:val="0"/>
      <w:marTop w:val="0"/>
      <w:marBottom w:val="0"/>
      <w:divBdr>
        <w:top w:val="none" w:sz="0" w:space="0" w:color="auto"/>
        <w:left w:val="none" w:sz="0" w:space="0" w:color="auto"/>
        <w:bottom w:val="none" w:sz="0" w:space="0" w:color="auto"/>
        <w:right w:val="none" w:sz="0" w:space="0" w:color="auto"/>
      </w:divBdr>
    </w:div>
    <w:div w:id="1516772176">
      <w:bodyDiv w:val="1"/>
      <w:marLeft w:val="0"/>
      <w:marRight w:val="0"/>
      <w:marTop w:val="0"/>
      <w:marBottom w:val="0"/>
      <w:divBdr>
        <w:top w:val="none" w:sz="0" w:space="0" w:color="auto"/>
        <w:left w:val="none" w:sz="0" w:space="0" w:color="auto"/>
        <w:bottom w:val="none" w:sz="0" w:space="0" w:color="auto"/>
        <w:right w:val="none" w:sz="0" w:space="0" w:color="auto"/>
      </w:divBdr>
    </w:div>
    <w:div w:id="1737238147">
      <w:bodyDiv w:val="1"/>
      <w:marLeft w:val="0"/>
      <w:marRight w:val="0"/>
      <w:marTop w:val="0"/>
      <w:marBottom w:val="0"/>
      <w:divBdr>
        <w:top w:val="none" w:sz="0" w:space="0" w:color="auto"/>
        <w:left w:val="none" w:sz="0" w:space="0" w:color="auto"/>
        <w:bottom w:val="none" w:sz="0" w:space="0" w:color="auto"/>
        <w:right w:val="none" w:sz="0" w:space="0" w:color="auto"/>
      </w:divBdr>
      <w:divsChild>
        <w:div w:id="586615618">
          <w:marLeft w:val="0"/>
          <w:marRight w:val="0"/>
          <w:marTop w:val="0"/>
          <w:marBottom w:val="0"/>
          <w:divBdr>
            <w:top w:val="none" w:sz="0" w:space="0" w:color="auto"/>
            <w:left w:val="none" w:sz="0" w:space="0" w:color="auto"/>
            <w:bottom w:val="none" w:sz="0" w:space="0" w:color="auto"/>
            <w:right w:val="none" w:sz="0" w:space="0" w:color="auto"/>
          </w:divBdr>
          <w:divsChild>
            <w:div w:id="2119911717">
              <w:marLeft w:val="0"/>
              <w:marRight w:val="0"/>
              <w:marTop w:val="0"/>
              <w:marBottom w:val="0"/>
              <w:divBdr>
                <w:top w:val="none" w:sz="0" w:space="0" w:color="auto"/>
                <w:left w:val="none" w:sz="0" w:space="0" w:color="auto"/>
                <w:bottom w:val="none" w:sz="0" w:space="0" w:color="auto"/>
                <w:right w:val="none" w:sz="0" w:space="0" w:color="auto"/>
              </w:divBdr>
              <w:divsChild>
                <w:div w:id="131198484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236210302">
          <w:marLeft w:val="0"/>
          <w:marRight w:val="0"/>
          <w:marTop w:val="300"/>
          <w:marBottom w:val="0"/>
          <w:divBdr>
            <w:top w:val="none" w:sz="0" w:space="0" w:color="auto"/>
            <w:left w:val="none" w:sz="0" w:space="0" w:color="auto"/>
            <w:bottom w:val="none" w:sz="0" w:space="0" w:color="auto"/>
            <w:right w:val="none" w:sz="0" w:space="0" w:color="auto"/>
          </w:divBdr>
          <w:divsChild>
            <w:div w:id="1484157495">
              <w:marLeft w:val="0"/>
              <w:marRight w:val="0"/>
              <w:marTop w:val="0"/>
              <w:marBottom w:val="0"/>
              <w:divBdr>
                <w:top w:val="none" w:sz="0" w:space="0" w:color="auto"/>
                <w:left w:val="none" w:sz="0" w:space="0" w:color="auto"/>
                <w:bottom w:val="none" w:sz="0" w:space="0" w:color="auto"/>
                <w:right w:val="none" w:sz="0" w:space="0" w:color="auto"/>
              </w:divBdr>
              <w:divsChild>
                <w:div w:id="1647978654">
                  <w:marLeft w:val="0"/>
                  <w:marRight w:val="0"/>
                  <w:marTop w:val="0"/>
                  <w:marBottom w:val="0"/>
                  <w:divBdr>
                    <w:top w:val="none" w:sz="0" w:space="0" w:color="auto"/>
                    <w:left w:val="none" w:sz="0" w:space="0" w:color="auto"/>
                    <w:bottom w:val="none" w:sz="0" w:space="0" w:color="auto"/>
                    <w:right w:val="none" w:sz="0" w:space="0" w:color="auto"/>
                  </w:divBdr>
                  <w:divsChild>
                    <w:div w:id="155407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813178">
      <w:bodyDiv w:val="1"/>
      <w:marLeft w:val="0"/>
      <w:marRight w:val="0"/>
      <w:marTop w:val="0"/>
      <w:marBottom w:val="0"/>
      <w:divBdr>
        <w:top w:val="none" w:sz="0" w:space="0" w:color="auto"/>
        <w:left w:val="none" w:sz="0" w:space="0" w:color="auto"/>
        <w:bottom w:val="none" w:sz="0" w:space="0" w:color="auto"/>
        <w:right w:val="none" w:sz="0" w:space="0" w:color="auto"/>
      </w:divBdr>
    </w:div>
    <w:div w:id="1781602910">
      <w:bodyDiv w:val="1"/>
      <w:marLeft w:val="0"/>
      <w:marRight w:val="0"/>
      <w:marTop w:val="0"/>
      <w:marBottom w:val="0"/>
      <w:divBdr>
        <w:top w:val="none" w:sz="0" w:space="0" w:color="auto"/>
        <w:left w:val="none" w:sz="0" w:space="0" w:color="auto"/>
        <w:bottom w:val="none" w:sz="0" w:space="0" w:color="auto"/>
        <w:right w:val="none" w:sz="0" w:space="0" w:color="auto"/>
      </w:divBdr>
    </w:div>
    <w:div w:id="1811096088">
      <w:bodyDiv w:val="1"/>
      <w:marLeft w:val="0"/>
      <w:marRight w:val="0"/>
      <w:marTop w:val="0"/>
      <w:marBottom w:val="0"/>
      <w:divBdr>
        <w:top w:val="none" w:sz="0" w:space="0" w:color="auto"/>
        <w:left w:val="none" w:sz="0" w:space="0" w:color="auto"/>
        <w:bottom w:val="none" w:sz="0" w:space="0" w:color="auto"/>
        <w:right w:val="none" w:sz="0" w:space="0" w:color="auto"/>
      </w:divBdr>
    </w:div>
    <w:div w:id="1829593254">
      <w:bodyDiv w:val="1"/>
      <w:marLeft w:val="0"/>
      <w:marRight w:val="0"/>
      <w:marTop w:val="0"/>
      <w:marBottom w:val="0"/>
      <w:divBdr>
        <w:top w:val="none" w:sz="0" w:space="0" w:color="auto"/>
        <w:left w:val="none" w:sz="0" w:space="0" w:color="auto"/>
        <w:bottom w:val="none" w:sz="0" w:space="0" w:color="auto"/>
        <w:right w:val="none" w:sz="0" w:space="0" w:color="auto"/>
      </w:divBdr>
    </w:div>
    <w:div w:id="1859612986">
      <w:bodyDiv w:val="1"/>
      <w:marLeft w:val="0"/>
      <w:marRight w:val="0"/>
      <w:marTop w:val="0"/>
      <w:marBottom w:val="0"/>
      <w:divBdr>
        <w:top w:val="none" w:sz="0" w:space="0" w:color="auto"/>
        <w:left w:val="none" w:sz="0" w:space="0" w:color="auto"/>
        <w:bottom w:val="none" w:sz="0" w:space="0" w:color="auto"/>
        <w:right w:val="none" w:sz="0" w:space="0" w:color="auto"/>
      </w:divBdr>
    </w:div>
    <w:div w:id="1863783859">
      <w:bodyDiv w:val="1"/>
      <w:marLeft w:val="0"/>
      <w:marRight w:val="0"/>
      <w:marTop w:val="0"/>
      <w:marBottom w:val="0"/>
      <w:divBdr>
        <w:top w:val="none" w:sz="0" w:space="0" w:color="auto"/>
        <w:left w:val="none" w:sz="0" w:space="0" w:color="auto"/>
        <w:bottom w:val="none" w:sz="0" w:space="0" w:color="auto"/>
        <w:right w:val="none" w:sz="0" w:space="0" w:color="auto"/>
      </w:divBdr>
    </w:div>
    <w:div w:id="1888949630">
      <w:bodyDiv w:val="1"/>
      <w:marLeft w:val="0"/>
      <w:marRight w:val="0"/>
      <w:marTop w:val="0"/>
      <w:marBottom w:val="0"/>
      <w:divBdr>
        <w:top w:val="none" w:sz="0" w:space="0" w:color="auto"/>
        <w:left w:val="none" w:sz="0" w:space="0" w:color="auto"/>
        <w:bottom w:val="none" w:sz="0" w:space="0" w:color="auto"/>
        <w:right w:val="none" w:sz="0" w:space="0" w:color="auto"/>
      </w:divBdr>
    </w:div>
    <w:div w:id="1949774947">
      <w:bodyDiv w:val="1"/>
      <w:marLeft w:val="0"/>
      <w:marRight w:val="0"/>
      <w:marTop w:val="0"/>
      <w:marBottom w:val="0"/>
      <w:divBdr>
        <w:top w:val="none" w:sz="0" w:space="0" w:color="auto"/>
        <w:left w:val="none" w:sz="0" w:space="0" w:color="auto"/>
        <w:bottom w:val="none" w:sz="0" w:space="0" w:color="auto"/>
        <w:right w:val="none" w:sz="0" w:space="0" w:color="auto"/>
      </w:divBdr>
    </w:div>
    <w:div w:id="1950316101">
      <w:bodyDiv w:val="1"/>
      <w:marLeft w:val="0"/>
      <w:marRight w:val="0"/>
      <w:marTop w:val="0"/>
      <w:marBottom w:val="0"/>
      <w:divBdr>
        <w:top w:val="none" w:sz="0" w:space="0" w:color="auto"/>
        <w:left w:val="none" w:sz="0" w:space="0" w:color="auto"/>
        <w:bottom w:val="none" w:sz="0" w:space="0" w:color="auto"/>
        <w:right w:val="none" w:sz="0" w:space="0" w:color="auto"/>
      </w:divBdr>
    </w:div>
    <w:div w:id="1953124170">
      <w:bodyDiv w:val="1"/>
      <w:marLeft w:val="0"/>
      <w:marRight w:val="0"/>
      <w:marTop w:val="0"/>
      <w:marBottom w:val="0"/>
      <w:divBdr>
        <w:top w:val="none" w:sz="0" w:space="0" w:color="auto"/>
        <w:left w:val="none" w:sz="0" w:space="0" w:color="auto"/>
        <w:bottom w:val="none" w:sz="0" w:space="0" w:color="auto"/>
        <w:right w:val="none" w:sz="0" w:space="0" w:color="auto"/>
      </w:divBdr>
    </w:div>
    <w:div w:id="1960380352">
      <w:bodyDiv w:val="1"/>
      <w:marLeft w:val="0"/>
      <w:marRight w:val="0"/>
      <w:marTop w:val="0"/>
      <w:marBottom w:val="0"/>
      <w:divBdr>
        <w:top w:val="none" w:sz="0" w:space="0" w:color="auto"/>
        <w:left w:val="none" w:sz="0" w:space="0" w:color="auto"/>
        <w:bottom w:val="none" w:sz="0" w:space="0" w:color="auto"/>
        <w:right w:val="none" w:sz="0" w:space="0" w:color="auto"/>
      </w:divBdr>
    </w:div>
    <w:div w:id="1966960079">
      <w:bodyDiv w:val="1"/>
      <w:marLeft w:val="0"/>
      <w:marRight w:val="0"/>
      <w:marTop w:val="0"/>
      <w:marBottom w:val="0"/>
      <w:divBdr>
        <w:top w:val="none" w:sz="0" w:space="0" w:color="auto"/>
        <w:left w:val="none" w:sz="0" w:space="0" w:color="auto"/>
        <w:bottom w:val="none" w:sz="0" w:space="0" w:color="auto"/>
        <w:right w:val="none" w:sz="0" w:space="0" w:color="auto"/>
      </w:divBdr>
    </w:div>
    <w:div w:id="2019578489">
      <w:bodyDiv w:val="1"/>
      <w:marLeft w:val="0"/>
      <w:marRight w:val="0"/>
      <w:marTop w:val="0"/>
      <w:marBottom w:val="0"/>
      <w:divBdr>
        <w:top w:val="none" w:sz="0" w:space="0" w:color="auto"/>
        <w:left w:val="none" w:sz="0" w:space="0" w:color="auto"/>
        <w:bottom w:val="none" w:sz="0" w:space="0" w:color="auto"/>
        <w:right w:val="none" w:sz="0" w:space="0" w:color="auto"/>
      </w:divBdr>
    </w:div>
    <w:div w:id="2051686920">
      <w:bodyDiv w:val="1"/>
      <w:marLeft w:val="0"/>
      <w:marRight w:val="0"/>
      <w:marTop w:val="0"/>
      <w:marBottom w:val="0"/>
      <w:divBdr>
        <w:top w:val="none" w:sz="0" w:space="0" w:color="auto"/>
        <w:left w:val="none" w:sz="0" w:space="0" w:color="auto"/>
        <w:bottom w:val="none" w:sz="0" w:space="0" w:color="auto"/>
        <w:right w:val="none" w:sz="0" w:space="0" w:color="auto"/>
      </w:divBdr>
    </w:div>
    <w:div w:id="211347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yperlink" Target="https://minfin.gov.ru/ru/document?id_4=133537"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hyperlink" Target="https://base.garant.ru/74765146/" TargetMode="Externa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https://www.consultant.ru/document/cons_doc_LAW_193590/"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7ADA56-77AD-452F-9040-5DF08B1879F8}" type="doc">
      <dgm:prSet loTypeId="urn:microsoft.com/office/officeart/2005/8/layout/vList2" loCatId="list" qsTypeId="urn:microsoft.com/office/officeart/2005/8/quickstyle/simple1" qsCatId="simple" csTypeId="urn:microsoft.com/office/officeart/2005/8/colors/accent0_1" csCatId="mainScheme" phldr="1"/>
      <dgm:spPr/>
      <dgm:t>
        <a:bodyPr/>
        <a:lstStyle/>
        <a:p>
          <a:endParaRPr lang="ru-RU"/>
        </a:p>
      </dgm:t>
    </dgm:pt>
    <dgm:pt modelId="{3D20E35D-F39F-4BBE-BC96-62AE6B62209C}">
      <dgm:prSet phldrT="[Текст]" custT="1"/>
      <dgm:spPr/>
      <dgm:t>
        <a:bodyPr/>
        <a:lstStyle/>
        <a:p>
          <a:pPr>
            <a:buNone/>
          </a:pPr>
          <a:r>
            <a:rPr lang="ru-RU" sz="1050" b="1">
              <a:latin typeface="Times New Roman" panose="02020603050405020304" pitchFamily="18" charset="0"/>
              <a:cs typeface="Times New Roman" panose="02020603050405020304" pitchFamily="18" charset="0"/>
            </a:rPr>
            <a:t>Материально-вещественная форма</a:t>
          </a:r>
          <a:endParaRPr lang="ru-RU" sz="1050">
            <a:latin typeface="Times New Roman" panose="02020603050405020304" pitchFamily="18" charset="0"/>
            <a:cs typeface="Times New Roman" panose="02020603050405020304" pitchFamily="18" charset="0"/>
          </a:endParaRPr>
        </a:p>
      </dgm:t>
    </dgm:pt>
    <dgm:pt modelId="{FA87ADAA-368C-4A15-BBBF-1F951A8D219A}" type="parTrans" cxnId="{3E9A362F-7914-4ED4-A38B-943A4B0B2E30}">
      <dgm:prSet/>
      <dgm:spPr/>
      <dgm:t>
        <a:bodyPr/>
        <a:lstStyle/>
        <a:p>
          <a:endParaRPr lang="ru-RU"/>
        </a:p>
      </dgm:t>
    </dgm:pt>
    <dgm:pt modelId="{05B56247-08FD-4306-9D87-781C466E92A0}" type="sibTrans" cxnId="{3E9A362F-7914-4ED4-A38B-943A4B0B2E30}">
      <dgm:prSet/>
      <dgm:spPr/>
      <dgm:t>
        <a:bodyPr/>
        <a:lstStyle/>
        <a:p>
          <a:endParaRPr lang="ru-RU"/>
        </a:p>
      </dgm:t>
    </dgm:pt>
    <dgm:pt modelId="{693AB4BF-320B-404A-8B73-C75C51ECE622}">
      <dgm:prSet phldrT="[Текст]" custT="1"/>
      <dgm:spPr/>
      <dgm:t>
        <a:bodyPr/>
        <a:lstStyle/>
        <a:p>
          <a:pPr>
            <a:buNone/>
          </a:pPr>
          <a:r>
            <a:rPr lang="ru-RU" sz="1050">
              <a:latin typeface="Times New Roman" panose="02020603050405020304" pitchFamily="18" charset="0"/>
              <a:cs typeface="Times New Roman" panose="02020603050405020304" pitchFamily="18" charset="0"/>
            </a:rPr>
            <a:t>основные средства представляют собой физические объекты, используемые в деятельности предприятия</a:t>
          </a:r>
        </a:p>
      </dgm:t>
    </dgm:pt>
    <dgm:pt modelId="{EB288C98-178E-49F4-AA75-8DCA81D8193E}" type="parTrans" cxnId="{D8225FBF-F509-41B2-B4C4-254F0BDDD98E}">
      <dgm:prSet/>
      <dgm:spPr/>
      <dgm:t>
        <a:bodyPr/>
        <a:lstStyle/>
        <a:p>
          <a:endParaRPr lang="ru-RU"/>
        </a:p>
      </dgm:t>
    </dgm:pt>
    <dgm:pt modelId="{5442A7C6-899F-4623-863C-A12951BFDB0B}" type="sibTrans" cxnId="{D8225FBF-F509-41B2-B4C4-254F0BDDD98E}">
      <dgm:prSet/>
      <dgm:spPr/>
      <dgm:t>
        <a:bodyPr/>
        <a:lstStyle/>
        <a:p>
          <a:endParaRPr lang="ru-RU"/>
        </a:p>
      </dgm:t>
    </dgm:pt>
    <dgm:pt modelId="{272B27FF-6C5F-425B-817C-B0B48C164D4C}">
      <dgm:prSet phldrT="[Текст]" custT="1"/>
      <dgm:spPr/>
      <dgm:t>
        <a:bodyPr/>
        <a:lstStyle/>
        <a:p>
          <a:pPr>
            <a:buNone/>
          </a:pPr>
          <a:r>
            <a:rPr lang="ru-RU" sz="1050" b="1">
              <a:latin typeface="Times New Roman" panose="02020603050405020304" pitchFamily="18" charset="0"/>
              <a:cs typeface="Times New Roman" panose="02020603050405020304" pitchFamily="18" charset="0"/>
            </a:rPr>
            <a:t>Длительный срок использования</a:t>
          </a:r>
          <a:endParaRPr lang="ru-RU" sz="1050">
            <a:latin typeface="Times New Roman" panose="02020603050405020304" pitchFamily="18" charset="0"/>
            <a:cs typeface="Times New Roman" panose="02020603050405020304" pitchFamily="18" charset="0"/>
          </a:endParaRPr>
        </a:p>
      </dgm:t>
    </dgm:pt>
    <dgm:pt modelId="{8E4E4B01-E38F-451A-9803-9975B0CC2A1D}" type="parTrans" cxnId="{D16A97E0-D5BB-4FC1-B026-AF32E2A23F7D}">
      <dgm:prSet/>
      <dgm:spPr/>
      <dgm:t>
        <a:bodyPr/>
        <a:lstStyle/>
        <a:p>
          <a:endParaRPr lang="ru-RU"/>
        </a:p>
      </dgm:t>
    </dgm:pt>
    <dgm:pt modelId="{A43F15E2-52CB-40D2-B6AD-DAE6B63FE861}" type="sibTrans" cxnId="{D16A97E0-D5BB-4FC1-B026-AF32E2A23F7D}">
      <dgm:prSet/>
      <dgm:spPr/>
      <dgm:t>
        <a:bodyPr/>
        <a:lstStyle/>
        <a:p>
          <a:endParaRPr lang="ru-RU"/>
        </a:p>
      </dgm:t>
    </dgm:pt>
    <dgm:pt modelId="{A20527AA-18CD-4140-9B6F-73B07D084716}">
      <dgm:prSet phldrT="[Текст]" custT="1"/>
      <dgm:spPr/>
      <dgm:t>
        <a:bodyPr/>
        <a:lstStyle/>
        <a:p>
          <a:pPr>
            <a:buNone/>
          </a:pPr>
          <a:r>
            <a:rPr lang="ru-RU" sz="1050">
              <a:latin typeface="Times New Roman" panose="02020603050405020304" pitchFamily="18" charset="0"/>
              <a:cs typeface="Times New Roman" panose="02020603050405020304" pitchFamily="18" charset="0"/>
            </a:rPr>
            <a:t>эти активы эксплуатируются на протяжении продолжительного периода, превышающего один операционный цикл или 12 месяцев</a:t>
          </a:r>
        </a:p>
      </dgm:t>
    </dgm:pt>
    <dgm:pt modelId="{09C3B0D4-3500-4318-8999-EA9FE99538FA}" type="parTrans" cxnId="{5CFF22B8-36EE-4738-A1B7-4F67E255B13C}">
      <dgm:prSet/>
      <dgm:spPr/>
      <dgm:t>
        <a:bodyPr/>
        <a:lstStyle/>
        <a:p>
          <a:endParaRPr lang="ru-RU"/>
        </a:p>
      </dgm:t>
    </dgm:pt>
    <dgm:pt modelId="{6FC098B4-C96A-4936-B38A-633A72F05FCF}" type="sibTrans" cxnId="{5CFF22B8-36EE-4738-A1B7-4F67E255B13C}">
      <dgm:prSet/>
      <dgm:spPr/>
      <dgm:t>
        <a:bodyPr/>
        <a:lstStyle/>
        <a:p>
          <a:endParaRPr lang="ru-RU"/>
        </a:p>
      </dgm:t>
    </dgm:pt>
    <dgm:pt modelId="{EDA2653D-6CA5-4A16-ADE2-082419B4B712}">
      <dgm:prSet phldrT="[Текст]" custT="1"/>
      <dgm:spPr/>
      <dgm:t>
        <a:bodyPr/>
        <a:lstStyle/>
        <a:p>
          <a:pPr>
            <a:buNone/>
          </a:pPr>
          <a:r>
            <a:rPr lang="ru-RU" sz="1050" b="1">
              <a:latin typeface="Times New Roman" panose="02020603050405020304" pitchFamily="18" charset="0"/>
              <a:cs typeface="Times New Roman" panose="02020603050405020304" pitchFamily="18" charset="0"/>
            </a:rPr>
            <a:t>Участие в производственном процессе</a:t>
          </a:r>
          <a:endParaRPr lang="ru-RU" sz="1050">
            <a:latin typeface="Times New Roman" panose="02020603050405020304" pitchFamily="18" charset="0"/>
            <a:cs typeface="Times New Roman" panose="02020603050405020304" pitchFamily="18" charset="0"/>
          </a:endParaRPr>
        </a:p>
      </dgm:t>
    </dgm:pt>
    <dgm:pt modelId="{5A714AB9-5519-4DD4-9640-193B0A46D80D}" type="parTrans" cxnId="{990BED42-53D6-4579-BED7-A7039C2677CF}">
      <dgm:prSet/>
      <dgm:spPr/>
      <dgm:t>
        <a:bodyPr/>
        <a:lstStyle/>
        <a:p>
          <a:endParaRPr lang="ru-RU"/>
        </a:p>
      </dgm:t>
    </dgm:pt>
    <dgm:pt modelId="{C3FA7B9B-999D-4F90-B019-368E7EAE1F93}" type="sibTrans" cxnId="{990BED42-53D6-4579-BED7-A7039C2677CF}">
      <dgm:prSet/>
      <dgm:spPr/>
      <dgm:t>
        <a:bodyPr/>
        <a:lstStyle/>
        <a:p>
          <a:endParaRPr lang="ru-RU"/>
        </a:p>
      </dgm:t>
    </dgm:pt>
    <dgm:pt modelId="{4C7D6ED1-92E4-4DB3-8046-80D8E96308EB}">
      <dgm:prSet phldrT="[Текст]" custT="1"/>
      <dgm:spPr/>
      <dgm:t>
        <a:bodyPr/>
        <a:lstStyle/>
        <a:p>
          <a:pPr>
            <a:buNone/>
          </a:pPr>
          <a:r>
            <a:rPr lang="ru-RU" sz="1050">
              <a:latin typeface="Times New Roman" panose="02020603050405020304" pitchFamily="18" charset="0"/>
              <a:cs typeface="Times New Roman" panose="02020603050405020304" pitchFamily="18" charset="0"/>
            </a:rPr>
            <a:t>основные средства задействованы в создании продукции, выполнении работ или оказании услуг, либо используются для управленческих нужд</a:t>
          </a:r>
        </a:p>
      </dgm:t>
    </dgm:pt>
    <dgm:pt modelId="{69A547AF-8B31-4A8E-886B-CEA09630C661}" type="parTrans" cxnId="{83926247-B44E-47D1-9226-58C76EE452B7}">
      <dgm:prSet/>
      <dgm:spPr/>
      <dgm:t>
        <a:bodyPr/>
        <a:lstStyle/>
        <a:p>
          <a:endParaRPr lang="ru-RU"/>
        </a:p>
      </dgm:t>
    </dgm:pt>
    <dgm:pt modelId="{CD4C497B-E4BA-4D57-BA32-4703CC0710FD}" type="sibTrans" cxnId="{83926247-B44E-47D1-9226-58C76EE452B7}">
      <dgm:prSet/>
      <dgm:spPr/>
      <dgm:t>
        <a:bodyPr/>
        <a:lstStyle/>
        <a:p>
          <a:endParaRPr lang="ru-RU"/>
        </a:p>
      </dgm:t>
    </dgm:pt>
    <dgm:pt modelId="{94F3C51D-DC7D-4BD0-AC12-A9A7B3F11849}">
      <dgm:prSet phldrT="[Текст]" custT="1"/>
      <dgm:spPr/>
      <dgm:t>
        <a:bodyPr/>
        <a:lstStyle/>
        <a:p>
          <a:pPr>
            <a:buNone/>
          </a:pPr>
          <a:r>
            <a:rPr lang="ru-RU" sz="1050" b="1">
              <a:latin typeface="Times New Roman" panose="02020603050405020304" pitchFamily="18" charset="0"/>
              <a:cs typeface="Times New Roman" panose="02020603050405020304" pitchFamily="18" charset="0"/>
            </a:rPr>
            <a:t>Постепенное перенесение стоимости</a:t>
          </a:r>
          <a:endParaRPr lang="ru-RU" sz="1050">
            <a:latin typeface="Times New Roman" panose="02020603050405020304" pitchFamily="18" charset="0"/>
            <a:cs typeface="Times New Roman" panose="02020603050405020304" pitchFamily="18" charset="0"/>
          </a:endParaRPr>
        </a:p>
      </dgm:t>
    </dgm:pt>
    <dgm:pt modelId="{9184F4BF-08CE-4497-9880-C5A2C65EEF07}" type="parTrans" cxnId="{A55126A8-3913-4569-8EF1-5E958B3D1F02}">
      <dgm:prSet/>
      <dgm:spPr/>
      <dgm:t>
        <a:bodyPr/>
        <a:lstStyle/>
        <a:p>
          <a:endParaRPr lang="ru-RU"/>
        </a:p>
      </dgm:t>
    </dgm:pt>
    <dgm:pt modelId="{0EE4065C-51D8-4C9D-B223-489AECE1E966}" type="sibTrans" cxnId="{A55126A8-3913-4569-8EF1-5E958B3D1F02}">
      <dgm:prSet/>
      <dgm:spPr/>
      <dgm:t>
        <a:bodyPr/>
        <a:lstStyle/>
        <a:p>
          <a:endParaRPr lang="ru-RU"/>
        </a:p>
      </dgm:t>
    </dgm:pt>
    <dgm:pt modelId="{8DCCE74E-A470-47B7-B306-F21D3CEE34F5}">
      <dgm:prSet phldrT="[Текст]" custT="1"/>
      <dgm:spPr/>
      <dgm:t>
        <a:bodyPr/>
        <a:lstStyle/>
        <a:p>
          <a:pPr>
            <a:buNone/>
          </a:pPr>
          <a:r>
            <a:rPr lang="ru-RU" sz="1050">
              <a:latin typeface="Times New Roman" panose="02020603050405020304" pitchFamily="18" charset="0"/>
              <a:cs typeface="Times New Roman" panose="02020603050405020304" pitchFamily="18" charset="0"/>
            </a:rPr>
            <a:t>в процессе эксплуатации основные средства изнашиваются, и их стоимость частями переносится на себестоимость производимой продукции или оказываемых услуг через механизм амортизации</a:t>
          </a:r>
        </a:p>
      </dgm:t>
    </dgm:pt>
    <dgm:pt modelId="{CEC8AA7D-AAD2-41D6-9B1D-22C0DF9CFC9D}" type="parTrans" cxnId="{BD83FBE3-550C-4C44-A35C-355B80018585}">
      <dgm:prSet/>
      <dgm:spPr/>
      <dgm:t>
        <a:bodyPr/>
        <a:lstStyle/>
        <a:p>
          <a:endParaRPr lang="ru-RU"/>
        </a:p>
      </dgm:t>
    </dgm:pt>
    <dgm:pt modelId="{E5666300-56EC-4B22-8FDB-5C0AE85A1B15}" type="sibTrans" cxnId="{BD83FBE3-550C-4C44-A35C-355B80018585}">
      <dgm:prSet/>
      <dgm:spPr/>
      <dgm:t>
        <a:bodyPr/>
        <a:lstStyle/>
        <a:p>
          <a:endParaRPr lang="ru-RU"/>
        </a:p>
      </dgm:t>
    </dgm:pt>
    <dgm:pt modelId="{5DE4112D-98BD-436C-B26E-5E3F22619BF4}" type="pres">
      <dgm:prSet presAssocID="{0E7ADA56-77AD-452F-9040-5DF08B1879F8}" presName="linear" presStyleCnt="0">
        <dgm:presLayoutVars>
          <dgm:animLvl val="lvl"/>
          <dgm:resizeHandles val="exact"/>
        </dgm:presLayoutVars>
      </dgm:prSet>
      <dgm:spPr/>
    </dgm:pt>
    <dgm:pt modelId="{70BBA7D5-2A25-48FB-B9DD-21FC8F589E21}" type="pres">
      <dgm:prSet presAssocID="{3D20E35D-F39F-4BBE-BC96-62AE6B62209C}" presName="parentText" presStyleLbl="node1" presStyleIdx="0" presStyleCnt="4">
        <dgm:presLayoutVars>
          <dgm:chMax val="0"/>
          <dgm:bulletEnabled val="1"/>
        </dgm:presLayoutVars>
      </dgm:prSet>
      <dgm:spPr/>
    </dgm:pt>
    <dgm:pt modelId="{DEA95A61-24AC-4E04-AD85-089276A249E1}" type="pres">
      <dgm:prSet presAssocID="{3D20E35D-F39F-4BBE-BC96-62AE6B62209C}" presName="childText" presStyleLbl="revTx" presStyleIdx="0" presStyleCnt="4">
        <dgm:presLayoutVars>
          <dgm:bulletEnabled val="1"/>
        </dgm:presLayoutVars>
      </dgm:prSet>
      <dgm:spPr/>
    </dgm:pt>
    <dgm:pt modelId="{F565389A-A152-454E-8E12-B60AD9E68424}" type="pres">
      <dgm:prSet presAssocID="{272B27FF-6C5F-425B-817C-B0B48C164D4C}" presName="parentText" presStyleLbl="node1" presStyleIdx="1" presStyleCnt="4">
        <dgm:presLayoutVars>
          <dgm:chMax val="0"/>
          <dgm:bulletEnabled val="1"/>
        </dgm:presLayoutVars>
      </dgm:prSet>
      <dgm:spPr/>
    </dgm:pt>
    <dgm:pt modelId="{6FB583D3-8E8F-414E-A307-CAF2B5C9C82B}" type="pres">
      <dgm:prSet presAssocID="{272B27FF-6C5F-425B-817C-B0B48C164D4C}" presName="childText" presStyleLbl="revTx" presStyleIdx="1" presStyleCnt="4">
        <dgm:presLayoutVars>
          <dgm:bulletEnabled val="1"/>
        </dgm:presLayoutVars>
      </dgm:prSet>
      <dgm:spPr/>
    </dgm:pt>
    <dgm:pt modelId="{3FB7D9BF-EEE8-4B26-8185-7FE8A3558F73}" type="pres">
      <dgm:prSet presAssocID="{EDA2653D-6CA5-4A16-ADE2-082419B4B712}" presName="parentText" presStyleLbl="node1" presStyleIdx="2" presStyleCnt="4">
        <dgm:presLayoutVars>
          <dgm:chMax val="0"/>
          <dgm:bulletEnabled val="1"/>
        </dgm:presLayoutVars>
      </dgm:prSet>
      <dgm:spPr/>
    </dgm:pt>
    <dgm:pt modelId="{AFD71F3F-8D68-473C-89E7-49DD0800901B}" type="pres">
      <dgm:prSet presAssocID="{EDA2653D-6CA5-4A16-ADE2-082419B4B712}" presName="childText" presStyleLbl="revTx" presStyleIdx="2" presStyleCnt="4">
        <dgm:presLayoutVars>
          <dgm:bulletEnabled val="1"/>
        </dgm:presLayoutVars>
      </dgm:prSet>
      <dgm:spPr/>
    </dgm:pt>
    <dgm:pt modelId="{44BCFF6A-4D95-4ECB-917D-A7BA8FD3DE61}" type="pres">
      <dgm:prSet presAssocID="{94F3C51D-DC7D-4BD0-AC12-A9A7B3F11849}" presName="parentText" presStyleLbl="node1" presStyleIdx="3" presStyleCnt="4">
        <dgm:presLayoutVars>
          <dgm:chMax val="0"/>
          <dgm:bulletEnabled val="1"/>
        </dgm:presLayoutVars>
      </dgm:prSet>
      <dgm:spPr/>
    </dgm:pt>
    <dgm:pt modelId="{5905DA7C-1E42-423A-8890-765215B33181}" type="pres">
      <dgm:prSet presAssocID="{94F3C51D-DC7D-4BD0-AC12-A9A7B3F11849}" presName="childText" presStyleLbl="revTx" presStyleIdx="3" presStyleCnt="4">
        <dgm:presLayoutVars>
          <dgm:bulletEnabled val="1"/>
        </dgm:presLayoutVars>
      </dgm:prSet>
      <dgm:spPr/>
    </dgm:pt>
  </dgm:ptLst>
  <dgm:cxnLst>
    <dgm:cxn modelId="{3E9A362F-7914-4ED4-A38B-943A4B0B2E30}" srcId="{0E7ADA56-77AD-452F-9040-5DF08B1879F8}" destId="{3D20E35D-F39F-4BBE-BC96-62AE6B62209C}" srcOrd="0" destOrd="0" parTransId="{FA87ADAA-368C-4A15-BBBF-1F951A8D219A}" sibTransId="{05B56247-08FD-4306-9D87-781C466E92A0}"/>
    <dgm:cxn modelId="{0C11CF3B-9374-42EE-9CC9-579214685110}" type="presOf" srcId="{94F3C51D-DC7D-4BD0-AC12-A9A7B3F11849}" destId="{44BCFF6A-4D95-4ECB-917D-A7BA8FD3DE61}" srcOrd="0" destOrd="0" presId="urn:microsoft.com/office/officeart/2005/8/layout/vList2"/>
    <dgm:cxn modelId="{990BED42-53D6-4579-BED7-A7039C2677CF}" srcId="{0E7ADA56-77AD-452F-9040-5DF08B1879F8}" destId="{EDA2653D-6CA5-4A16-ADE2-082419B4B712}" srcOrd="2" destOrd="0" parTransId="{5A714AB9-5519-4DD4-9640-193B0A46D80D}" sibTransId="{C3FA7B9B-999D-4F90-B019-368E7EAE1F93}"/>
    <dgm:cxn modelId="{83926247-B44E-47D1-9226-58C76EE452B7}" srcId="{EDA2653D-6CA5-4A16-ADE2-082419B4B712}" destId="{4C7D6ED1-92E4-4DB3-8046-80D8E96308EB}" srcOrd="0" destOrd="0" parTransId="{69A547AF-8B31-4A8E-886B-CEA09630C661}" sibTransId="{CD4C497B-E4BA-4D57-BA32-4703CC0710FD}"/>
    <dgm:cxn modelId="{FCF26F4F-6D06-4179-94AC-0F2C0C23C9C7}" type="presOf" srcId="{4C7D6ED1-92E4-4DB3-8046-80D8E96308EB}" destId="{AFD71F3F-8D68-473C-89E7-49DD0800901B}" srcOrd="0" destOrd="0" presId="urn:microsoft.com/office/officeart/2005/8/layout/vList2"/>
    <dgm:cxn modelId="{80CB0970-A400-452A-9AE5-8BC2E66F1996}" type="presOf" srcId="{0E7ADA56-77AD-452F-9040-5DF08B1879F8}" destId="{5DE4112D-98BD-436C-B26E-5E3F22619BF4}" srcOrd="0" destOrd="0" presId="urn:microsoft.com/office/officeart/2005/8/layout/vList2"/>
    <dgm:cxn modelId="{5B793E8E-C654-4A25-BE04-CDC02EF00A74}" type="presOf" srcId="{8DCCE74E-A470-47B7-B306-F21D3CEE34F5}" destId="{5905DA7C-1E42-423A-8890-765215B33181}" srcOrd="0" destOrd="0" presId="urn:microsoft.com/office/officeart/2005/8/layout/vList2"/>
    <dgm:cxn modelId="{83AAF2A5-ADDE-4CA1-8D94-9FD113785AEB}" type="presOf" srcId="{3D20E35D-F39F-4BBE-BC96-62AE6B62209C}" destId="{70BBA7D5-2A25-48FB-B9DD-21FC8F589E21}" srcOrd="0" destOrd="0" presId="urn:microsoft.com/office/officeart/2005/8/layout/vList2"/>
    <dgm:cxn modelId="{A55126A8-3913-4569-8EF1-5E958B3D1F02}" srcId="{0E7ADA56-77AD-452F-9040-5DF08B1879F8}" destId="{94F3C51D-DC7D-4BD0-AC12-A9A7B3F11849}" srcOrd="3" destOrd="0" parTransId="{9184F4BF-08CE-4497-9880-C5A2C65EEF07}" sibTransId="{0EE4065C-51D8-4C9D-B223-489AECE1E966}"/>
    <dgm:cxn modelId="{B5DF4EAA-DE38-4A8F-8548-51E17AB3572F}" type="presOf" srcId="{A20527AA-18CD-4140-9B6F-73B07D084716}" destId="{6FB583D3-8E8F-414E-A307-CAF2B5C9C82B}" srcOrd="0" destOrd="0" presId="urn:microsoft.com/office/officeart/2005/8/layout/vList2"/>
    <dgm:cxn modelId="{5CFF22B8-36EE-4738-A1B7-4F67E255B13C}" srcId="{272B27FF-6C5F-425B-817C-B0B48C164D4C}" destId="{A20527AA-18CD-4140-9B6F-73B07D084716}" srcOrd="0" destOrd="0" parTransId="{09C3B0D4-3500-4318-8999-EA9FE99538FA}" sibTransId="{6FC098B4-C96A-4936-B38A-633A72F05FCF}"/>
    <dgm:cxn modelId="{D8225FBF-F509-41B2-B4C4-254F0BDDD98E}" srcId="{3D20E35D-F39F-4BBE-BC96-62AE6B62209C}" destId="{693AB4BF-320B-404A-8B73-C75C51ECE622}" srcOrd="0" destOrd="0" parTransId="{EB288C98-178E-49F4-AA75-8DCA81D8193E}" sibTransId="{5442A7C6-899F-4623-863C-A12951BFDB0B}"/>
    <dgm:cxn modelId="{EE9755DF-2339-459B-A8A6-46646C496F70}" type="presOf" srcId="{EDA2653D-6CA5-4A16-ADE2-082419B4B712}" destId="{3FB7D9BF-EEE8-4B26-8185-7FE8A3558F73}" srcOrd="0" destOrd="0" presId="urn:microsoft.com/office/officeart/2005/8/layout/vList2"/>
    <dgm:cxn modelId="{D16A97E0-D5BB-4FC1-B026-AF32E2A23F7D}" srcId="{0E7ADA56-77AD-452F-9040-5DF08B1879F8}" destId="{272B27FF-6C5F-425B-817C-B0B48C164D4C}" srcOrd="1" destOrd="0" parTransId="{8E4E4B01-E38F-451A-9803-9975B0CC2A1D}" sibTransId="{A43F15E2-52CB-40D2-B6AD-DAE6B63FE861}"/>
    <dgm:cxn modelId="{BEB910E3-AA2D-4121-BBA4-7D119F33798E}" type="presOf" srcId="{693AB4BF-320B-404A-8B73-C75C51ECE622}" destId="{DEA95A61-24AC-4E04-AD85-089276A249E1}" srcOrd="0" destOrd="0" presId="urn:microsoft.com/office/officeart/2005/8/layout/vList2"/>
    <dgm:cxn modelId="{BD83FBE3-550C-4C44-A35C-355B80018585}" srcId="{94F3C51D-DC7D-4BD0-AC12-A9A7B3F11849}" destId="{8DCCE74E-A470-47B7-B306-F21D3CEE34F5}" srcOrd="0" destOrd="0" parTransId="{CEC8AA7D-AAD2-41D6-9B1D-22C0DF9CFC9D}" sibTransId="{E5666300-56EC-4B22-8FDB-5C0AE85A1B15}"/>
    <dgm:cxn modelId="{F2D928F2-C98D-4CD1-84B5-3D195E138A99}" type="presOf" srcId="{272B27FF-6C5F-425B-817C-B0B48C164D4C}" destId="{F565389A-A152-454E-8E12-B60AD9E68424}" srcOrd="0" destOrd="0" presId="urn:microsoft.com/office/officeart/2005/8/layout/vList2"/>
    <dgm:cxn modelId="{741FDCC1-2006-44EA-BDB4-2083E8662CEE}" type="presParOf" srcId="{5DE4112D-98BD-436C-B26E-5E3F22619BF4}" destId="{70BBA7D5-2A25-48FB-B9DD-21FC8F589E21}" srcOrd="0" destOrd="0" presId="urn:microsoft.com/office/officeart/2005/8/layout/vList2"/>
    <dgm:cxn modelId="{2ACCC046-5374-45A9-981B-037DA422C2C3}" type="presParOf" srcId="{5DE4112D-98BD-436C-B26E-5E3F22619BF4}" destId="{DEA95A61-24AC-4E04-AD85-089276A249E1}" srcOrd="1" destOrd="0" presId="urn:microsoft.com/office/officeart/2005/8/layout/vList2"/>
    <dgm:cxn modelId="{FC4ED113-9B6B-435F-80D7-FA02880D5F8E}" type="presParOf" srcId="{5DE4112D-98BD-436C-B26E-5E3F22619BF4}" destId="{F565389A-A152-454E-8E12-B60AD9E68424}" srcOrd="2" destOrd="0" presId="urn:microsoft.com/office/officeart/2005/8/layout/vList2"/>
    <dgm:cxn modelId="{520766AC-17A2-433E-A817-D72B92EA13CE}" type="presParOf" srcId="{5DE4112D-98BD-436C-B26E-5E3F22619BF4}" destId="{6FB583D3-8E8F-414E-A307-CAF2B5C9C82B}" srcOrd="3" destOrd="0" presId="urn:microsoft.com/office/officeart/2005/8/layout/vList2"/>
    <dgm:cxn modelId="{A8B3B323-A83C-46C6-91D2-6C2CF0DD8FBA}" type="presParOf" srcId="{5DE4112D-98BD-436C-B26E-5E3F22619BF4}" destId="{3FB7D9BF-EEE8-4B26-8185-7FE8A3558F73}" srcOrd="4" destOrd="0" presId="urn:microsoft.com/office/officeart/2005/8/layout/vList2"/>
    <dgm:cxn modelId="{38182BEA-82B3-42CF-8D30-BD811917D80E}" type="presParOf" srcId="{5DE4112D-98BD-436C-B26E-5E3F22619BF4}" destId="{AFD71F3F-8D68-473C-89E7-49DD0800901B}" srcOrd="5" destOrd="0" presId="urn:microsoft.com/office/officeart/2005/8/layout/vList2"/>
    <dgm:cxn modelId="{EA6B65A4-6A6E-44B5-BB46-BCCD0494462E}" type="presParOf" srcId="{5DE4112D-98BD-436C-B26E-5E3F22619BF4}" destId="{44BCFF6A-4D95-4ECB-917D-A7BA8FD3DE61}" srcOrd="6" destOrd="0" presId="urn:microsoft.com/office/officeart/2005/8/layout/vList2"/>
    <dgm:cxn modelId="{92A8997E-F195-47FC-9584-7B50AFF64EE4}" type="presParOf" srcId="{5DE4112D-98BD-436C-B26E-5E3F22619BF4}" destId="{5905DA7C-1E42-423A-8890-765215B33181}" srcOrd="7" destOrd="0" presId="urn:microsoft.com/office/officeart/2005/8/layout/vList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0BBA7D5-2A25-48FB-B9DD-21FC8F589E21}">
      <dsp:nvSpPr>
        <dsp:cNvPr id="0" name=""/>
        <dsp:cNvSpPr/>
      </dsp:nvSpPr>
      <dsp:spPr>
        <a:xfrm>
          <a:off x="0" y="61439"/>
          <a:ext cx="5966460" cy="3556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l" defTabSz="466725">
            <a:lnSpc>
              <a:spcPct val="90000"/>
            </a:lnSpc>
            <a:spcBef>
              <a:spcPct val="0"/>
            </a:spcBef>
            <a:spcAft>
              <a:spcPct val="35000"/>
            </a:spcAft>
            <a:buNone/>
          </a:pPr>
          <a:r>
            <a:rPr lang="ru-RU" sz="1050" b="1" kern="1200">
              <a:latin typeface="Times New Roman" panose="02020603050405020304" pitchFamily="18" charset="0"/>
              <a:cs typeface="Times New Roman" panose="02020603050405020304" pitchFamily="18" charset="0"/>
            </a:rPr>
            <a:t>Материально-вещественная форма</a:t>
          </a:r>
          <a:endParaRPr lang="ru-RU" sz="1050" kern="1200">
            <a:latin typeface="Times New Roman" panose="02020603050405020304" pitchFamily="18" charset="0"/>
            <a:cs typeface="Times New Roman" panose="02020603050405020304" pitchFamily="18" charset="0"/>
          </a:endParaRPr>
        </a:p>
      </dsp:txBody>
      <dsp:txXfrm>
        <a:off x="17363" y="78802"/>
        <a:ext cx="5931734" cy="320954"/>
      </dsp:txXfrm>
    </dsp:sp>
    <dsp:sp modelId="{DEA95A61-24AC-4E04-AD85-089276A249E1}">
      <dsp:nvSpPr>
        <dsp:cNvPr id="0" name=""/>
        <dsp:cNvSpPr/>
      </dsp:nvSpPr>
      <dsp:spPr>
        <a:xfrm>
          <a:off x="0" y="417119"/>
          <a:ext cx="5966460" cy="314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9435" tIns="13970" rIns="78232" bIns="13970" numCol="1" spcCol="1270" anchor="t" anchorCtr="0">
          <a:noAutofit/>
        </a:bodyPr>
        <a:lstStyle/>
        <a:p>
          <a:pPr marL="57150" lvl="1" indent="-57150" algn="l" defTabSz="466725">
            <a:lnSpc>
              <a:spcPct val="90000"/>
            </a:lnSpc>
            <a:spcBef>
              <a:spcPct val="0"/>
            </a:spcBef>
            <a:spcAft>
              <a:spcPct val="20000"/>
            </a:spcAft>
            <a:buNone/>
          </a:pPr>
          <a:r>
            <a:rPr lang="ru-RU" sz="1050" kern="1200">
              <a:latin typeface="Times New Roman" panose="02020603050405020304" pitchFamily="18" charset="0"/>
              <a:cs typeface="Times New Roman" panose="02020603050405020304" pitchFamily="18" charset="0"/>
            </a:rPr>
            <a:t>основные средства представляют собой физические объекты, используемые в деятельности предприятия</a:t>
          </a:r>
        </a:p>
      </dsp:txBody>
      <dsp:txXfrm>
        <a:off x="0" y="417119"/>
        <a:ext cx="5966460" cy="314640"/>
      </dsp:txXfrm>
    </dsp:sp>
    <dsp:sp modelId="{F565389A-A152-454E-8E12-B60AD9E68424}">
      <dsp:nvSpPr>
        <dsp:cNvPr id="0" name=""/>
        <dsp:cNvSpPr/>
      </dsp:nvSpPr>
      <dsp:spPr>
        <a:xfrm>
          <a:off x="0" y="731759"/>
          <a:ext cx="5966460" cy="3556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l" defTabSz="466725">
            <a:lnSpc>
              <a:spcPct val="90000"/>
            </a:lnSpc>
            <a:spcBef>
              <a:spcPct val="0"/>
            </a:spcBef>
            <a:spcAft>
              <a:spcPct val="35000"/>
            </a:spcAft>
            <a:buNone/>
          </a:pPr>
          <a:r>
            <a:rPr lang="ru-RU" sz="1050" b="1" kern="1200">
              <a:latin typeface="Times New Roman" panose="02020603050405020304" pitchFamily="18" charset="0"/>
              <a:cs typeface="Times New Roman" panose="02020603050405020304" pitchFamily="18" charset="0"/>
            </a:rPr>
            <a:t>Длительный срок использования</a:t>
          </a:r>
          <a:endParaRPr lang="ru-RU" sz="1050" kern="1200">
            <a:latin typeface="Times New Roman" panose="02020603050405020304" pitchFamily="18" charset="0"/>
            <a:cs typeface="Times New Roman" panose="02020603050405020304" pitchFamily="18" charset="0"/>
          </a:endParaRPr>
        </a:p>
      </dsp:txBody>
      <dsp:txXfrm>
        <a:off x="17363" y="749122"/>
        <a:ext cx="5931734" cy="320954"/>
      </dsp:txXfrm>
    </dsp:sp>
    <dsp:sp modelId="{6FB583D3-8E8F-414E-A307-CAF2B5C9C82B}">
      <dsp:nvSpPr>
        <dsp:cNvPr id="0" name=""/>
        <dsp:cNvSpPr/>
      </dsp:nvSpPr>
      <dsp:spPr>
        <a:xfrm>
          <a:off x="0" y="1087439"/>
          <a:ext cx="5966460" cy="314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9435" tIns="13970" rIns="78232" bIns="13970" numCol="1" spcCol="1270" anchor="t" anchorCtr="0">
          <a:noAutofit/>
        </a:bodyPr>
        <a:lstStyle/>
        <a:p>
          <a:pPr marL="57150" lvl="1" indent="-57150" algn="l" defTabSz="466725">
            <a:lnSpc>
              <a:spcPct val="90000"/>
            </a:lnSpc>
            <a:spcBef>
              <a:spcPct val="0"/>
            </a:spcBef>
            <a:spcAft>
              <a:spcPct val="20000"/>
            </a:spcAft>
            <a:buNone/>
          </a:pPr>
          <a:r>
            <a:rPr lang="ru-RU" sz="1050" kern="1200">
              <a:latin typeface="Times New Roman" panose="02020603050405020304" pitchFamily="18" charset="0"/>
              <a:cs typeface="Times New Roman" panose="02020603050405020304" pitchFamily="18" charset="0"/>
            </a:rPr>
            <a:t>эти активы эксплуатируются на протяжении продолжительного периода, превышающего один операционный цикл или 12 месяцев</a:t>
          </a:r>
        </a:p>
      </dsp:txBody>
      <dsp:txXfrm>
        <a:off x="0" y="1087439"/>
        <a:ext cx="5966460" cy="314640"/>
      </dsp:txXfrm>
    </dsp:sp>
    <dsp:sp modelId="{3FB7D9BF-EEE8-4B26-8185-7FE8A3558F73}">
      <dsp:nvSpPr>
        <dsp:cNvPr id="0" name=""/>
        <dsp:cNvSpPr/>
      </dsp:nvSpPr>
      <dsp:spPr>
        <a:xfrm>
          <a:off x="0" y="1402080"/>
          <a:ext cx="5966460" cy="3556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l" defTabSz="466725">
            <a:lnSpc>
              <a:spcPct val="90000"/>
            </a:lnSpc>
            <a:spcBef>
              <a:spcPct val="0"/>
            </a:spcBef>
            <a:spcAft>
              <a:spcPct val="35000"/>
            </a:spcAft>
            <a:buNone/>
          </a:pPr>
          <a:r>
            <a:rPr lang="ru-RU" sz="1050" b="1" kern="1200">
              <a:latin typeface="Times New Roman" panose="02020603050405020304" pitchFamily="18" charset="0"/>
              <a:cs typeface="Times New Roman" panose="02020603050405020304" pitchFamily="18" charset="0"/>
            </a:rPr>
            <a:t>Участие в производственном процессе</a:t>
          </a:r>
          <a:endParaRPr lang="ru-RU" sz="1050" kern="1200">
            <a:latin typeface="Times New Roman" panose="02020603050405020304" pitchFamily="18" charset="0"/>
            <a:cs typeface="Times New Roman" panose="02020603050405020304" pitchFamily="18" charset="0"/>
          </a:endParaRPr>
        </a:p>
      </dsp:txBody>
      <dsp:txXfrm>
        <a:off x="17363" y="1419443"/>
        <a:ext cx="5931734" cy="320954"/>
      </dsp:txXfrm>
    </dsp:sp>
    <dsp:sp modelId="{AFD71F3F-8D68-473C-89E7-49DD0800901B}">
      <dsp:nvSpPr>
        <dsp:cNvPr id="0" name=""/>
        <dsp:cNvSpPr/>
      </dsp:nvSpPr>
      <dsp:spPr>
        <a:xfrm>
          <a:off x="0" y="1757760"/>
          <a:ext cx="5966460" cy="314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9435" tIns="13970" rIns="78232" bIns="13970" numCol="1" spcCol="1270" anchor="t" anchorCtr="0">
          <a:noAutofit/>
        </a:bodyPr>
        <a:lstStyle/>
        <a:p>
          <a:pPr marL="57150" lvl="1" indent="-57150" algn="l" defTabSz="466725">
            <a:lnSpc>
              <a:spcPct val="90000"/>
            </a:lnSpc>
            <a:spcBef>
              <a:spcPct val="0"/>
            </a:spcBef>
            <a:spcAft>
              <a:spcPct val="20000"/>
            </a:spcAft>
            <a:buNone/>
          </a:pPr>
          <a:r>
            <a:rPr lang="ru-RU" sz="1050" kern="1200">
              <a:latin typeface="Times New Roman" panose="02020603050405020304" pitchFamily="18" charset="0"/>
              <a:cs typeface="Times New Roman" panose="02020603050405020304" pitchFamily="18" charset="0"/>
            </a:rPr>
            <a:t>основные средства задействованы в создании продукции, выполнении работ или оказании услуг, либо используются для управленческих нужд</a:t>
          </a:r>
        </a:p>
      </dsp:txBody>
      <dsp:txXfrm>
        <a:off x="0" y="1757760"/>
        <a:ext cx="5966460" cy="314640"/>
      </dsp:txXfrm>
    </dsp:sp>
    <dsp:sp modelId="{44BCFF6A-4D95-4ECB-917D-A7BA8FD3DE61}">
      <dsp:nvSpPr>
        <dsp:cNvPr id="0" name=""/>
        <dsp:cNvSpPr/>
      </dsp:nvSpPr>
      <dsp:spPr>
        <a:xfrm>
          <a:off x="0" y="2072400"/>
          <a:ext cx="5966460" cy="3556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l" defTabSz="466725">
            <a:lnSpc>
              <a:spcPct val="90000"/>
            </a:lnSpc>
            <a:spcBef>
              <a:spcPct val="0"/>
            </a:spcBef>
            <a:spcAft>
              <a:spcPct val="35000"/>
            </a:spcAft>
            <a:buNone/>
          </a:pPr>
          <a:r>
            <a:rPr lang="ru-RU" sz="1050" b="1" kern="1200">
              <a:latin typeface="Times New Roman" panose="02020603050405020304" pitchFamily="18" charset="0"/>
              <a:cs typeface="Times New Roman" panose="02020603050405020304" pitchFamily="18" charset="0"/>
            </a:rPr>
            <a:t>Постепенное перенесение стоимости</a:t>
          </a:r>
          <a:endParaRPr lang="ru-RU" sz="1050" kern="1200">
            <a:latin typeface="Times New Roman" panose="02020603050405020304" pitchFamily="18" charset="0"/>
            <a:cs typeface="Times New Roman" panose="02020603050405020304" pitchFamily="18" charset="0"/>
          </a:endParaRPr>
        </a:p>
      </dsp:txBody>
      <dsp:txXfrm>
        <a:off x="17363" y="2089763"/>
        <a:ext cx="5931734" cy="320954"/>
      </dsp:txXfrm>
    </dsp:sp>
    <dsp:sp modelId="{5905DA7C-1E42-423A-8890-765215B33181}">
      <dsp:nvSpPr>
        <dsp:cNvPr id="0" name=""/>
        <dsp:cNvSpPr/>
      </dsp:nvSpPr>
      <dsp:spPr>
        <a:xfrm>
          <a:off x="0" y="2428080"/>
          <a:ext cx="5966460" cy="314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9435" tIns="13970" rIns="78232" bIns="13970" numCol="1" spcCol="1270" anchor="t" anchorCtr="0">
          <a:noAutofit/>
        </a:bodyPr>
        <a:lstStyle/>
        <a:p>
          <a:pPr marL="57150" lvl="1" indent="-57150" algn="l" defTabSz="466725">
            <a:lnSpc>
              <a:spcPct val="90000"/>
            </a:lnSpc>
            <a:spcBef>
              <a:spcPct val="0"/>
            </a:spcBef>
            <a:spcAft>
              <a:spcPct val="20000"/>
            </a:spcAft>
            <a:buNone/>
          </a:pPr>
          <a:r>
            <a:rPr lang="ru-RU" sz="1050" kern="1200">
              <a:latin typeface="Times New Roman" panose="02020603050405020304" pitchFamily="18" charset="0"/>
              <a:cs typeface="Times New Roman" panose="02020603050405020304" pitchFamily="18" charset="0"/>
            </a:rPr>
            <a:t>в процессе эксплуатации основные средства изнашиваются, и их стоимость частями переносится на себестоимость производимой продукции или оказываемых услуг через механизм амортизации</a:t>
          </a:r>
        </a:p>
      </dsp:txBody>
      <dsp:txXfrm>
        <a:off x="0" y="2428080"/>
        <a:ext cx="5966460" cy="314640"/>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13806-AB41-4B08-91C8-F6D36ACFD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2681</Words>
  <Characters>15284</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Куцевалова Екатерина</dc:creator>
  <cp:lastModifiedBy>Татьяна Бубновская</cp:lastModifiedBy>
  <cp:revision>2</cp:revision>
  <cp:lastPrinted>2025-03-03T23:26:00Z</cp:lastPrinted>
  <dcterms:created xsi:type="dcterms:W3CDTF">2025-03-16T11:29:00Z</dcterms:created>
  <dcterms:modified xsi:type="dcterms:W3CDTF">2025-03-16T11:29:00Z</dcterms:modified>
</cp:coreProperties>
</file>