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22617F" w14:textId="77777777" w:rsidR="00814DC4" w:rsidRPr="00023FD9" w:rsidRDefault="00814DC4" w:rsidP="00814DC4">
      <w:pPr>
        <w:spacing w:after="0" w:line="240" w:lineRule="auto"/>
        <w:jc w:val="center"/>
        <w:rPr>
          <w:rFonts w:ascii="Times New Roman" w:eastAsia="Times New Roman" w:hAnsi="Times New Roman" w:cs="Times New Roman"/>
          <w:lang w:val="en-US"/>
        </w:rPr>
      </w:pPr>
      <w:r w:rsidRPr="00023FD9">
        <w:rPr>
          <w:rFonts w:ascii="Times New Roman" w:eastAsia="Times New Roman" w:hAnsi="Times New Roman" w:cs="Times New Roman"/>
          <w:lang w:val="en-US"/>
        </w:rPr>
        <w:t>Marina N. Arnaut, PhD, associate professor, Department of Economics and Management, Vladivostok State University of Economics and Service</w:t>
      </w:r>
    </w:p>
    <w:p w14:paraId="69031AC7" w14:textId="77777777" w:rsidR="00814DC4" w:rsidRPr="00023FD9" w:rsidRDefault="00814DC4" w:rsidP="00814DC4">
      <w:pPr>
        <w:spacing w:after="0" w:line="240" w:lineRule="auto"/>
        <w:jc w:val="center"/>
        <w:rPr>
          <w:rFonts w:ascii="Times New Roman" w:eastAsia="Times New Roman" w:hAnsi="Times New Roman" w:cs="Times New Roman"/>
          <w:lang w:val="en-US"/>
        </w:rPr>
      </w:pPr>
      <w:r w:rsidRPr="00023FD9">
        <w:rPr>
          <w:rFonts w:ascii="Times New Roman" w:eastAsia="Times New Roman" w:hAnsi="Times New Roman" w:cs="Times New Roman"/>
          <w:lang w:val="en-US"/>
        </w:rPr>
        <w:t>E-mail: marina.kulakova@vvsu.ru</w:t>
      </w:r>
    </w:p>
    <w:p w14:paraId="372735BC" w14:textId="15F6DF45" w:rsidR="00814DC4" w:rsidRPr="005E43CE" w:rsidRDefault="00814DC4" w:rsidP="00814DC4">
      <w:pPr>
        <w:spacing w:after="0" w:line="240" w:lineRule="auto"/>
        <w:jc w:val="center"/>
        <w:rPr>
          <w:rFonts w:ascii="Times New Roman" w:eastAsia="Times New Roman" w:hAnsi="Times New Roman" w:cs="Times New Roman"/>
          <w:lang w:val="en-US"/>
        </w:rPr>
      </w:pPr>
      <w:r w:rsidRPr="00023FD9">
        <w:rPr>
          <w:rFonts w:ascii="Times New Roman" w:eastAsia="Times New Roman" w:hAnsi="Times New Roman" w:cs="Times New Roman"/>
          <w:lang w:val="en-US"/>
        </w:rPr>
        <w:t xml:space="preserve">Address: 41, </w:t>
      </w:r>
      <w:proofErr w:type="spellStart"/>
      <w:r w:rsidRPr="00023FD9">
        <w:rPr>
          <w:rFonts w:ascii="Times New Roman" w:eastAsia="Times New Roman" w:hAnsi="Times New Roman" w:cs="Times New Roman"/>
          <w:lang w:val="en-US"/>
        </w:rPr>
        <w:t>Gogolya</w:t>
      </w:r>
      <w:proofErr w:type="spellEnd"/>
      <w:r w:rsidRPr="00023FD9">
        <w:rPr>
          <w:rFonts w:ascii="Times New Roman" w:eastAsia="Times New Roman" w:hAnsi="Times New Roman" w:cs="Times New Roman"/>
          <w:lang w:val="en-US"/>
        </w:rPr>
        <w:t xml:space="preserve"> St</w:t>
      </w:r>
      <w:r w:rsidR="00B807F9">
        <w:rPr>
          <w:rFonts w:ascii="Times New Roman" w:eastAsia="Times New Roman" w:hAnsi="Times New Roman" w:cs="Times New Roman"/>
          <w:lang w:val="en-US"/>
        </w:rPr>
        <w:t>r</w:t>
      </w:r>
      <w:r w:rsidRPr="00023FD9">
        <w:rPr>
          <w:rFonts w:ascii="Times New Roman" w:eastAsia="Times New Roman" w:hAnsi="Times New Roman" w:cs="Times New Roman"/>
          <w:lang w:val="en-US"/>
        </w:rPr>
        <w:t xml:space="preserve">., 690014, Vladivostok, </w:t>
      </w:r>
      <w:r w:rsidRPr="006B004B">
        <w:rPr>
          <w:rFonts w:ascii="Times New Roman" w:eastAsia="Times New Roman" w:hAnsi="Times New Roman" w:cs="Times New Roman"/>
          <w:lang w:val="en-US"/>
        </w:rPr>
        <w:t xml:space="preserve">Russia, </w:t>
      </w:r>
      <w:r w:rsidRPr="00023FD9">
        <w:rPr>
          <w:rFonts w:ascii="Times New Roman" w:eastAsia="Times New Roman" w:hAnsi="Times New Roman" w:cs="Times New Roman"/>
          <w:lang w:val="en-US"/>
        </w:rPr>
        <w:t>phone: +7 (423) 240-42-27</w:t>
      </w:r>
    </w:p>
    <w:p w14:paraId="76454748" w14:textId="77777777" w:rsidR="005E43CE" w:rsidRPr="005E43CE" w:rsidRDefault="005E43CE" w:rsidP="00814DC4">
      <w:pPr>
        <w:spacing w:after="0" w:line="240" w:lineRule="auto"/>
        <w:jc w:val="center"/>
        <w:rPr>
          <w:rFonts w:ascii="Times New Roman" w:eastAsia="Times New Roman" w:hAnsi="Times New Roman" w:cs="Times New Roman"/>
          <w:lang w:val="en-US"/>
        </w:rPr>
      </w:pPr>
    </w:p>
    <w:p w14:paraId="5ACC9B20" w14:textId="77777777" w:rsidR="00814DC4" w:rsidRPr="00023FD9" w:rsidRDefault="00814DC4" w:rsidP="00814DC4">
      <w:pPr>
        <w:spacing w:after="0" w:line="240" w:lineRule="auto"/>
        <w:jc w:val="center"/>
        <w:rPr>
          <w:rFonts w:ascii="Times New Roman" w:eastAsia="Times New Roman" w:hAnsi="Times New Roman" w:cs="Times New Roman"/>
          <w:lang w:val="en-US"/>
        </w:rPr>
      </w:pPr>
      <w:r w:rsidRPr="00023FD9">
        <w:rPr>
          <w:rFonts w:ascii="Times New Roman" w:eastAsia="Times New Roman" w:hAnsi="Times New Roman" w:cs="Times New Roman"/>
          <w:lang w:val="en-US"/>
        </w:rPr>
        <w:t xml:space="preserve">Olga V. </w:t>
      </w:r>
      <w:proofErr w:type="spellStart"/>
      <w:r w:rsidRPr="00023FD9">
        <w:rPr>
          <w:rFonts w:ascii="Times New Roman" w:eastAsia="Times New Roman" w:hAnsi="Times New Roman" w:cs="Times New Roman"/>
          <w:lang w:val="en-US"/>
        </w:rPr>
        <w:t>Nedoluzhko</w:t>
      </w:r>
      <w:proofErr w:type="spellEnd"/>
      <w:r w:rsidRPr="00023FD9">
        <w:rPr>
          <w:rFonts w:ascii="Times New Roman" w:eastAsia="Times New Roman" w:hAnsi="Times New Roman" w:cs="Times New Roman"/>
          <w:lang w:val="en-US"/>
        </w:rPr>
        <w:t>, PhD, associate professor, Department of Economics and Management, Vladivostok State University of Economics and Service</w:t>
      </w:r>
    </w:p>
    <w:p w14:paraId="76681222" w14:textId="77777777" w:rsidR="00814DC4" w:rsidRPr="00023FD9" w:rsidRDefault="00814DC4" w:rsidP="00814DC4">
      <w:pPr>
        <w:spacing w:after="0" w:line="240" w:lineRule="auto"/>
        <w:jc w:val="center"/>
        <w:rPr>
          <w:rFonts w:ascii="Times New Roman" w:eastAsia="Times New Roman" w:hAnsi="Times New Roman" w:cs="Times New Roman"/>
          <w:lang w:val="en-US"/>
        </w:rPr>
      </w:pPr>
      <w:r w:rsidRPr="00023FD9">
        <w:rPr>
          <w:rFonts w:ascii="Times New Roman" w:eastAsia="Times New Roman" w:hAnsi="Times New Roman" w:cs="Times New Roman"/>
          <w:lang w:val="en-US"/>
        </w:rPr>
        <w:t>E-mail: olga.nedoluzhko@vvsu.ru</w:t>
      </w:r>
    </w:p>
    <w:p w14:paraId="118C97B1" w14:textId="3AE004B4" w:rsidR="00814DC4" w:rsidRPr="00023FD9" w:rsidRDefault="00814DC4" w:rsidP="00814DC4">
      <w:pPr>
        <w:spacing w:after="0" w:line="240" w:lineRule="auto"/>
        <w:jc w:val="center"/>
        <w:rPr>
          <w:rFonts w:ascii="Times New Roman" w:eastAsia="Times New Roman" w:hAnsi="Times New Roman" w:cs="Times New Roman"/>
          <w:lang w:val="en-US"/>
        </w:rPr>
      </w:pPr>
      <w:r w:rsidRPr="00023FD9">
        <w:rPr>
          <w:rFonts w:ascii="Times New Roman" w:eastAsia="Times New Roman" w:hAnsi="Times New Roman" w:cs="Times New Roman"/>
          <w:lang w:val="en-US"/>
        </w:rPr>
        <w:t xml:space="preserve">Address: 41, </w:t>
      </w:r>
      <w:proofErr w:type="spellStart"/>
      <w:r w:rsidRPr="00023FD9">
        <w:rPr>
          <w:rFonts w:ascii="Times New Roman" w:eastAsia="Times New Roman" w:hAnsi="Times New Roman" w:cs="Times New Roman"/>
          <w:lang w:val="en-US"/>
        </w:rPr>
        <w:t>Gogolya</w:t>
      </w:r>
      <w:proofErr w:type="spellEnd"/>
      <w:r w:rsidRPr="00023FD9">
        <w:rPr>
          <w:rFonts w:ascii="Times New Roman" w:eastAsia="Times New Roman" w:hAnsi="Times New Roman" w:cs="Times New Roman"/>
          <w:lang w:val="en-US"/>
        </w:rPr>
        <w:t xml:space="preserve"> St</w:t>
      </w:r>
      <w:r w:rsidR="00B807F9">
        <w:rPr>
          <w:rFonts w:ascii="Times New Roman" w:eastAsia="Times New Roman" w:hAnsi="Times New Roman" w:cs="Times New Roman"/>
          <w:lang w:val="en-US"/>
        </w:rPr>
        <w:t>r</w:t>
      </w:r>
      <w:r w:rsidRPr="00023FD9">
        <w:rPr>
          <w:rFonts w:ascii="Times New Roman" w:eastAsia="Times New Roman" w:hAnsi="Times New Roman" w:cs="Times New Roman"/>
          <w:lang w:val="en-US"/>
        </w:rPr>
        <w:t xml:space="preserve">., 690014, Vladivostok, </w:t>
      </w:r>
      <w:r w:rsidRPr="006B004B">
        <w:rPr>
          <w:rFonts w:ascii="Times New Roman" w:eastAsia="Times New Roman" w:hAnsi="Times New Roman" w:cs="Times New Roman"/>
          <w:lang w:val="en-US"/>
        </w:rPr>
        <w:t xml:space="preserve">Russia, </w:t>
      </w:r>
      <w:r w:rsidRPr="00023FD9">
        <w:rPr>
          <w:rFonts w:ascii="Times New Roman" w:eastAsia="Times New Roman" w:hAnsi="Times New Roman" w:cs="Times New Roman"/>
          <w:lang w:val="en-US"/>
        </w:rPr>
        <w:t>phone: +7 (423) 240-42-27</w:t>
      </w:r>
    </w:p>
    <w:p w14:paraId="59A42629" w14:textId="77777777" w:rsidR="00814DC4" w:rsidRPr="00023FD9" w:rsidRDefault="00814DC4" w:rsidP="00814DC4">
      <w:pPr>
        <w:widowControl w:val="0"/>
        <w:spacing w:after="0" w:line="240" w:lineRule="auto"/>
        <w:ind w:firstLine="709"/>
        <w:jc w:val="both"/>
        <w:rPr>
          <w:rFonts w:ascii="Times New Roman" w:hAnsi="Times New Roman" w:cs="Times New Roman"/>
          <w:sz w:val="24"/>
          <w:szCs w:val="24"/>
          <w:lang w:val="en-US"/>
        </w:rPr>
      </w:pPr>
    </w:p>
    <w:p w14:paraId="0958C9F7" w14:textId="40FF67E1" w:rsidR="00F76F23" w:rsidRPr="00D02603" w:rsidRDefault="00D02603" w:rsidP="00075B40">
      <w:pPr>
        <w:widowControl w:val="0"/>
        <w:spacing w:after="0" w:line="240" w:lineRule="auto"/>
        <w:jc w:val="center"/>
        <w:rPr>
          <w:rFonts w:ascii="Times New Roman" w:hAnsi="Times New Roman" w:cs="Times New Roman"/>
          <w:b/>
          <w:sz w:val="24"/>
          <w:szCs w:val="24"/>
          <w:lang w:val="en-US"/>
        </w:rPr>
      </w:pPr>
      <w:r w:rsidRPr="00D02603">
        <w:rPr>
          <w:rFonts w:ascii="Times New Roman" w:hAnsi="Times New Roman" w:cs="Times New Roman"/>
          <w:b/>
          <w:sz w:val="24"/>
          <w:szCs w:val="24"/>
          <w:lang w:val="en-US"/>
        </w:rPr>
        <w:t>Human capital development as the factor of territory competitiveness increase</w:t>
      </w:r>
    </w:p>
    <w:p w14:paraId="2E48BEC1" w14:textId="77777777" w:rsidR="00F76F23" w:rsidRPr="00D02603" w:rsidRDefault="00F76F23" w:rsidP="00075B40">
      <w:pPr>
        <w:widowControl w:val="0"/>
        <w:spacing w:after="0" w:line="240" w:lineRule="auto"/>
        <w:ind w:firstLine="709"/>
        <w:jc w:val="both"/>
        <w:rPr>
          <w:rFonts w:ascii="Times New Roman" w:hAnsi="Times New Roman" w:cs="Times New Roman"/>
          <w:sz w:val="24"/>
          <w:szCs w:val="24"/>
          <w:lang w:val="en-US"/>
        </w:rPr>
      </w:pPr>
    </w:p>
    <w:p w14:paraId="1424AFF2" w14:textId="77777777" w:rsidR="0085476E" w:rsidRPr="0085476E" w:rsidRDefault="00D02603" w:rsidP="0085476E">
      <w:pPr>
        <w:spacing w:after="0" w:line="240" w:lineRule="auto"/>
        <w:ind w:firstLine="720"/>
        <w:jc w:val="both"/>
        <w:rPr>
          <w:rFonts w:ascii="Times New Roman" w:hAnsi="Times New Roman" w:cs="Times New Roman"/>
          <w:sz w:val="24"/>
          <w:szCs w:val="24"/>
          <w:lang w:val="en-US"/>
        </w:rPr>
      </w:pPr>
      <w:r>
        <w:rPr>
          <w:rFonts w:ascii="Times New Roman" w:hAnsi="Times New Roman" w:cs="Times New Roman"/>
          <w:b/>
          <w:sz w:val="24"/>
          <w:szCs w:val="24"/>
          <w:lang w:val="en-US"/>
        </w:rPr>
        <w:t>Abstract</w:t>
      </w:r>
      <w:r w:rsidR="006B004B" w:rsidRPr="0085476E">
        <w:rPr>
          <w:rFonts w:ascii="Times New Roman" w:hAnsi="Times New Roman" w:cs="Times New Roman"/>
          <w:b/>
          <w:sz w:val="24"/>
          <w:szCs w:val="24"/>
          <w:lang w:val="en-US"/>
        </w:rPr>
        <w:t>.</w:t>
      </w:r>
      <w:r w:rsidR="006B004B" w:rsidRPr="0085476E">
        <w:rPr>
          <w:rFonts w:ascii="Times New Roman" w:hAnsi="Times New Roman" w:cs="Times New Roman"/>
          <w:sz w:val="24"/>
          <w:szCs w:val="24"/>
          <w:lang w:val="en-US"/>
        </w:rPr>
        <w:t xml:space="preserve"> </w:t>
      </w:r>
      <w:r w:rsidR="0085476E" w:rsidRPr="0085476E">
        <w:rPr>
          <w:rFonts w:ascii="Times New Roman" w:hAnsi="Times New Roman" w:cs="Times New Roman"/>
          <w:sz w:val="24"/>
          <w:szCs w:val="24"/>
          <w:lang w:val="en-US"/>
        </w:rPr>
        <w:t>The relevance is in a certain problem - the contradiction between a particular territory competitiveness increase (for example, the gross regional product, budget financing) and the population interest in the implementation of their qualitative and quantitative characteristics (human capital) on it. The article proposes the author's approach of proving the position that the specificity of human capital development can be both a constraining and an activating factor for a territory competitiveness increase. It has been determined that the influence nature (positive or negative) is set by a combination of factors that are the main elements of mutual influence mechanisms of human capital qualitative and quantitative components and the rates of socio-economic development of a territory, which characterize its level of competitiveness.</w:t>
      </w:r>
    </w:p>
    <w:p w14:paraId="5E7E80B9" w14:textId="77777777" w:rsidR="0085476E" w:rsidRPr="0085476E" w:rsidRDefault="0085476E" w:rsidP="0085476E">
      <w:pPr>
        <w:spacing w:after="0" w:line="240" w:lineRule="auto"/>
        <w:ind w:firstLine="720"/>
        <w:jc w:val="both"/>
        <w:rPr>
          <w:rFonts w:ascii="Times New Roman" w:hAnsi="Times New Roman" w:cs="Times New Roman"/>
          <w:sz w:val="24"/>
          <w:szCs w:val="24"/>
          <w:lang w:val="en-US"/>
        </w:rPr>
      </w:pPr>
      <w:r w:rsidRPr="0085476E">
        <w:rPr>
          <w:rFonts w:ascii="Times New Roman" w:hAnsi="Times New Roman" w:cs="Times New Roman"/>
          <w:sz w:val="24"/>
          <w:szCs w:val="24"/>
          <w:lang w:val="en-US"/>
        </w:rPr>
        <w:t>The results obtained can be used by researchers who deal with the problems of human capital theory, its development and the relationship with the territory competitiveness indicators.</w:t>
      </w:r>
    </w:p>
    <w:p w14:paraId="361D20AF" w14:textId="77777777" w:rsidR="0085476E" w:rsidRPr="0085476E" w:rsidRDefault="0085476E" w:rsidP="0085476E">
      <w:pPr>
        <w:spacing w:after="0" w:line="240" w:lineRule="auto"/>
        <w:ind w:firstLine="720"/>
        <w:jc w:val="both"/>
        <w:rPr>
          <w:rFonts w:ascii="Times New Roman" w:hAnsi="Times New Roman" w:cs="Times New Roman"/>
          <w:sz w:val="24"/>
          <w:szCs w:val="24"/>
          <w:lang w:val="en-US"/>
        </w:rPr>
      </w:pPr>
      <w:r w:rsidRPr="0085476E">
        <w:rPr>
          <w:rFonts w:ascii="Times New Roman" w:hAnsi="Times New Roman" w:cs="Times New Roman"/>
          <w:sz w:val="24"/>
          <w:szCs w:val="24"/>
          <w:lang w:val="en-US"/>
        </w:rPr>
        <w:t>The practical significance of the study is the possibility of its result application: by state authorities and local self-government during the development and adjustment of documents for territory development strategic planning; the scientific community during the study of human capital and the level of territory competitiveness mutual influence.</w:t>
      </w:r>
    </w:p>
    <w:p w14:paraId="167BAD7F" w14:textId="77777777" w:rsidR="0085476E" w:rsidRPr="0085476E" w:rsidRDefault="0085476E" w:rsidP="0085476E">
      <w:pPr>
        <w:spacing w:after="0" w:line="240" w:lineRule="auto"/>
        <w:ind w:firstLine="720"/>
        <w:jc w:val="both"/>
        <w:rPr>
          <w:rFonts w:ascii="Times New Roman" w:hAnsi="Times New Roman" w:cs="Times New Roman"/>
          <w:sz w:val="24"/>
          <w:szCs w:val="24"/>
          <w:lang w:val="en-US"/>
        </w:rPr>
      </w:pPr>
    </w:p>
    <w:p w14:paraId="21BBA566" w14:textId="77777777" w:rsidR="0085476E" w:rsidRPr="0085476E" w:rsidRDefault="0085476E" w:rsidP="0085476E">
      <w:pPr>
        <w:spacing w:after="0" w:line="240" w:lineRule="auto"/>
        <w:ind w:firstLine="720"/>
        <w:jc w:val="both"/>
        <w:rPr>
          <w:rFonts w:ascii="Times New Roman" w:hAnsi="Times New Roman" w:cs="Times New Roman"/>
          <w:sz w:val="24"/>
          <w:szCs w:val="24"/>
          <w:lang w:val="en-US"/>
        </w:rPr>
      </w:pPr>
      <w:r w:rsidRPr="0085476E">
        <w:rPr>
          <w:rFonts w:ascii="Times New Roman" w:hAnsi="Times New Roman" w:cs="Times New Roman"/>
          <w:b/>
          <w:bCs/>
          <w:sz w:val="24"/>
          <w:szCs w:val="24"/>
          <w:lang w:val="en-US"/>
        </w:rPr>
        <w:t>Key words</w:t>
      </w:r>
      <w:r w:rsidRPr="0085476E">
        <w:rPr>
          <w:rFonts w:ascii="Times New Roman" w:hAnsi="Times New Roman" w:cs="Times New Roman"/>
          <w:sz w:val="24"/>
          <w:szCs w:val="24"/>
          <w:lang w:val="en-US"/>
        </w:rPr>
        <w:t>: human capital, territory competitiveness, development, interconnection, mutual influence, correlation</w:t>
      </w:r>
    </w:p>
    <w:p w14:paraId="36C4FFBD" w14:textId="77777777" w:rsidR="0085476E" w:rsidRPr="0085476E" w:rsidRDefault="0085476E" w:rsidP="0085476E">
      <w:pPr>
        <w:spacing w:after="0" w:line="240" w:lineRule="auto"/>
        <w:ind w:firstLine="720"/>
        <w:jc w:val="both"/>
        <w:rPr>
          <w:rFonts w:ascii="Times New Roman" w:hAnsi="Times New Roman" w:cs="Times New Roman"/>
          <w:sz w:val="24"/>
          <w:szCs w:val="24"/>
          <w:lang w:val="en-US"/>
        </w:rPr>
      </w:pPr>
    </w:p>
    <w:p w14:paraId="3E93CCA7" w14:textId="77777777" w:rsidR="0085476E" w:rsidRPr="0085476E" w:rsidRDefault="0085476E" w:rsidP="0085476E">
      <w:pPr>
        <w:spacing w:after="0" w:line="240" w:lineRule="auto"/>
        <w:ind w:firstLine="720"/>
        <w:jc w:val="both"/>
        <w:rPr>
          <w:rFonts w:ascii="Times New Roman" w:hAnsi="Times New Roman" w:cs="Times New Roman"/>
          <w:sz w:val="24"/>
          <w:szCs w:val="24"/>
          <w:lang w:val="en-US"/>
        </w:rPr>
      </w:pPr>
      <w:r w:rsidRPr="0085476E">
        <w:rPr>
          <w:rFonts w:ascii="Times New Roman" w:hAnsi="Times New Roman" w:cs="Times New Roman"/>
          <w:b/>
          <w:bCs/>
          <w:sz w:val="24"/>
          <w:szCs w:val="24"/>
          <w:lang w:val="en-US"/>
        </w:rPr>
        <w:t>Key points</w:t>
      </w:r>
      <w:r w:rsidRPr="0085476E">
        <w:rPr>
          <w:rFonts w:ascii="Times New Roman" w:hAnsi="Times New Roman" w:cs="Times New Roman"/>
          <w:sz w:val="24"/>
          <w:szCs w:val="24"/>
          <w:lang w:val="en-US"/>
        </w:rPr>
        <w:t>:</w:t>
      </w:r>
    </w:p>
    <w:p w14:paraId="471EF816" w14:textId="77777777" w:rsidR="0085476E" w:rsidRPr="0085476E" w:rsidRDefault="0085476E" w:rsidP="0085476E">
      <w:pPr>
        <w:spacing w:after="0" w:line="240" w:lineRule="auto"/>
        <w:ind w:firstLine="720"/>
        <w:jc w:val="both"/>
        <w:rPr>
          <w:rFonts w:ascii="Times New Roman" w:hAnsi="Times New Roman" w:cs="Times New Roman"/>
          <w:sz w:val="24"/>
          <w:szCs w:val="24"/>
          <w:lang w:val="en-US"/>
        </w:rPr>
      </w:pPr>
      <w:r w:rsidRPr="0085476E">
        <w:rPr>
          <w:rFonts w:ascii="Times New Roman" w:hAnsi="Times New Roman" w:cs="Times New Roman"/>
          <w:sz w:val="24"/>
          <w:szCs w:val="24"/>
          <w:lang w:val="en-US"/>
        </w:rPr>
        <w:t>- they identified and described the main methods for human capital evaluation;</w:t>
      </w:r>
    </w:p>
    <w:p w14:paraId="0A204088" w14:textId="77777777" w:rsidR="0085476E" w:rsidRPr="0085476E" w:rsidRDefault="0085476E" w:rsidP="0085476E">
      <w:pPr>
        <w:spacing w:after="0" w:line="240" w:lineRule="auto"/>
        <w:ind w:firstLine="720"/>
        <w:jc w:val="both"/>
        <w:rPr>
          <w:rFonts w:ascii="Times New Roman" w:hAnsi="Times New Roman" w:cs="Times New Roman"/>
          <w:sz w:val="24"/>
          <w:szCs w:val="24"/>
          <w:lang w:val="en-US"/>
        </w:rPr>
      </w:pPr>
      <w:r w:rsidRPr="0085476E">
        <w:rPr>
          <w:rFonts w:ascii="Times New Roman" w:hAnsi="Times New Roman" w:cs="Times New Roman"/>
          <w:sz w:val="24"/>
          <w:szCs w:val="24"/>
          <w:lang w:val="en-US"/>
        </w:rPr>
        <w:t>- they identified and described the main methods for the territory competitiveness evaluation;</w:t>
      </w:r>
    </w:p>
    <w:p w14:paraId="12586166" w14:textId="77777777" w:rsidR="0085476E" w:rsidRPr="0085476E" w:rsidRDefault="0085476E" w:rsidP="0085476E">
      <w:pPr>
        <w:spacing w:after="0" w:line="240" w:lineRule="auto"/>
        <w:ind w:firstLine="720"/>
        <w:jc w:val="both"/>
        <w:rPr>
          <w:rFonts w:ascii="Times New Roman" w:hAnsi="Times New Roman" w:cs="Times New Roman"/>
          <w:sz w:val="24"/>
          <w:szCs w:val="24"/>
          <w:lang w:val="en-US"/>
        </w:rPr>
      </w:pPr>
      <w:r w:rsidRPr="0085476E">
        <w:rPr>
          <w:rFonts w:ascii="Times New Roman" w:hAnsi="Times New Roman" w:cs="Times New Roman"/>
          <w:sz w:val="24"/>
          <w:szCs w:val="24"/>
          <w:lang w:val="en-US"/>
        </w:rPr>
        <w:t>- it has been proved that the specificity of human capital development can be both a constraining and an activating factor for a territory competitiveness increase (positive and negative values of the correlation coefficients).</w:t>
      </w:r>
    </w:p>
    <w:p w14:paraId="639D3E2D" w14:textId="77777777" w:rsidR="0085476E" w:rsidRPr="0085476E" w:rsidRDefault="0085476E" w:rsidP="0085476E">
      <w:pPr>
        <w:spacing w:after="0" w:line="240" w:lineRule="auto"/>
        <w:ind w:firstLine="720"/>
        <w:jc w:val="both"/>
        <w:rPr>
          <w:rFonts w:ascii="Times New Roman" w:hAnsi="Times New Roman" w:cs="Times New Roman"/>
          <w:sz w:val="24"/>
          <w:szCs w:val="24"/>
          <w:lang w:val="en-US"/>
        </w:rPr>
      </w:pPr>
    </w:p>
    <w:p w14:paraId="22672010" w14:textId="77777777" w:rsidR="0085476E" w:rsidRPr="0085476E" w:rsidRDefault="0085476E" w:rsidP="0085476E">
      <w:pPr>
        <w:spacing w:after="0" w:line="240" w:lineRule="auto"/>
        <w:ind w:firstLine="720"/>
        <w:jc w:val="both"/>
        <w:rPr>
          <w:rFonts w:ascii="Times New Roman" w:hAnsi="Times New Roman" w:cs="Times New Roman"/>
          <w:b/>
          <w:bCs/>
          <w:sz w:val="24"/>
          <w:szCs w:val="24"/>
          <w:lang w:val="en-US"/>
        </w:rPr>
      </w:pPr>
      <w:r w:rsidRPr="0085476E">
        <w:rPr>
          <w:rFonts w:ascii="Times New Roman" w:hAnsi="Times New Roman" w:cs="Times New Roman"/>
          <w:b/>
          <w:bCs/>
          <w:sz w:val="24"/>
          <w:szCs w:val="24"/>
          <w:lang w:val="en-US"/>
        </w:rPr>
        <w:t>Introduction</w:t>
      </w:r>
    </w:p>
    <w:p w14:paraId="6945C5E0" w14:textId="77777777" w:rsidR="0085476E" w:rsidRPr="0085476E" w:rsidRDefault="0085476E" w:rsidP="0085476E">
      <w:pPr>
        <w:spacing w:after="0" w:line="240" w:lineRule="auto"/>
        <w:ind w:firstLine="720"/>
        <w:jc w:val="both"/>
        <w:rPr>
          <w:rFonts w:ascii="Times New Roman" w:hAnsi="Times New Roman" w:cs="Times New Roman"/>
          <w:sz w:val="24"/>
          <w:szCs w:val="24"/>
          <w:lang w:val="en-US"/>
        </w:rPr>
      </w:pPr>
      <w:r w:rsidRPr="0085476E">
        <w:rPr>
          <w:rFonts w:ascii="Times New Roman" w:hAnsi="Times New Roman" w:cs="Times New Roman"/>
          <w:sz w:val="24"/>
          <w:szCs w:val="24"/>
          <w:lang w:val="en-US"/>
        </w:rPr>
        <w:t>Human capital, as one of the forms of the unique investment value description, implemented to obtain additional benefits, has an ambiguous assessment system among researchers. If we analyze the scientific works, the authors of which presented the methods for human capital evaluation, we can see that most of the researchers “tied” the evaluation of human capital to the indicators of an economic entity development.</w:t>
      </w:r>
    </w:p>
    <w:p w14:paraId="6C4AEA01" w14:textId="77777777" w:rsidR="009A4462" w:rsidRPr="009A4462" w:rsidRDefault="0085476E" w:rsidP="009A4462">
      <w:pPr>
        <w:spacing w:after="0" w:line="240" w:lineRule="auto"/>
        <w:ind w:firstLine="720"/>
        <w:jc w:val="both"/>
        <w:rPr>
          <w:rFonts w:ascii="Times New Roman" w:hAnsi="Times New Roman" w:cs="Times New Roman"/>
          <w:sz w:val="24"/>
          <w:szCs w:val="24"/>
          <w:lang w:val="en-US"/>
        </w:rPr>
      </w:pPr>
      <w:r w:rsidRPr="0085476E">
        <w:rPr>
          <w:rFonts w:ascii="Times New Roman" w:hAnsi="Times New Roman" w:cs="Times New Roman"/>
          <w:sz w:val="24"/>
          <w:szCs w:val="24"/>
          <w:lang w:val="en-US"/>
        </w:rPr>
        <w:t xml:space="preserve">Such researchers are represented, for example, by Semenov D.V., </w:t>
      </w:r>
      <w:proofErr w:type="spellStart"/>
      <w:r w:rsidRPr="0085476E">
        <w:rPr>
          <w:rFonts w:ascii="Times New Roman" w:hAnsi="Times New Roman" w:cs="Times New Roman"/>
          <w:sz w:val="24"/>
          <w:szCs w:val="24"/>
          <w:lang w:val="en-US"/>
        </w:rPr>
        <w:t>Golovtsova</w:t>
      </w:r>
      <w:proofErr w:type="spellEnd"/>
      <w:r w:rsidRPr="0085476E">
        <w:rPr>
          <w:rFonts w:ascii="Times New Roman" w:hAnsi="Times New Roman" w:cs="Times New Roman"/>
          <w:sz w:val="24"/>
          <w:szCs w:val="24"/>
          <w:lang w:val="en-US"/>
        </w:rPr>
        <w:t xml:space="preserve"> I.G., </w:t>
      </w:r>
      <w:proofErr w:type="spellStart"/>
      <w:r w:rsidRPr="0085476E">
        <w:rPr>
          <w:rFonts w:ascii="Times New Roman" w:hAnsi="Times New Roman" w:cs="Times New Roman"/>
          <w:sz w:val="24"/>
          <w:szCs w:val="24"/>
          <w:lang w:val="en-US"/>
        </w:rPr>
        <w:t>Dobrovinsky</w:t>
      </w:r>
      <w:proofErr w:type="spellEnd"/>
      <w:r w:rsidRPr="0085476E">
        <w:rPr>
          <w:rFonts w:ascii="Times New Roman" w:hAnsi="Times New Roman" w:cs="Times New Roman"/>
          <w:sz w:val="24"/>
          <w:szCs w:val="24"/>
          <w:lang w:val="en-US"/>
        </w:rPr>
        <w:t xml:space="preserve"> A.P., Demyanenko </w:t>
      </w:r>
      <w:proofErr w:type="spellStart"/>
      <w:r w:rsidRPr="0085476E">
        <w:rPr>
          <w:rFonts w:ascii="Times New Roman" w:hAnsi="Times New Roman" w:cs="Times New Roman"/>
          <w:sz w:val="24"/>
          <w:szCs w:val="24"/>
          <w:lang w:val="en-US"/>
        </w:rPr>
        <w:t>Yu.V</w:t>
      </w:r>
      <w:proofErr w:type="spellEnd"/>
      <w:r w:rsidRPr="0085476E">
        <w:rPr>
          <w:rFonts w:ascii="Times New Roman" w:hAnsi="Times New Roman" w:cs="Times New Roman"/>
          <w:sz w:val="24"/>
          <w:szCs w:val="24"/>
          <w:lang w:val="en-US"/>
        </w:rPr>
        <w:t xml:space="preserve">., </w:t>
      </w:r>
      <w:proofErr w:type="spellStart"/>
      <w:r w:rsidRPr="0085476E">
        <w:rPr>
          <w:rFonts w:ascii="Times New Roman" w:hAnsi="Times New Roman" w:cs="Times New Roman"/>
          <w:sz w:val="24"/>
          <w:szCs w:val="24"/>
          <w:lang w:val="en-US"/>
        </w:rPr>
        <w:t>Gerasimenko</w:t>
      </w:r>
      <w:proofErr w:type="spellEnd"/>
      <w:r w:rsidRPr="0085476E">
        <w:rPr>
          <w:rFonts w:ascii="Times New Roman" w:hAnsi="Times New Roman" w:cs="Times New Roman"/>
          <w:sz w:val="24"/>
          <w:szCs w:val="24"/>
          <w:lang w:val="en-US"/>
        </w:rPr>
        <w:t xml:space="preserve"> A.A., </w:t>
      </w:r>
      <w:proofErr w:type="spellStart"/>
      <w:r w:rsidRPr="0085476E">
        <w:rPr>
          <w:rFonts w:ascii="Times New Roman" w:hAnsi="Times New Roman" w:cs="Times New Roman"/>
          <w:sz w:val="24"/>
          <w:szCs w:val="24"/>
          <w:lang w:val="en-US"/>
        </w:rPr>
        <w:t>Shash</w:t>
      </w:r>
      <w:proofErr w:type="spellEnd"/>
      <w:r w:rsidRPr="0085476E">
        <w:rPr>
          <w:rFonts w:ascii="Times New Roman" w:hAnsi="Times New Roman" w:cs="Times New Roman"/>
          <w:sz w:val="24"/>
          <w:szCs w:val="24"/>
          <w:lang w:val="en-US"/>
        </w:rPr>
        <w:t xml:space="preserve"> N.N. and many others</w:t>
      </w:r>
      <w:r w:rsidR="0024741E" w:rsidRPr="0085476E">
        <w:rPr>
          <w:rFonts w:ascii="Times New Roman" w:hAnsi="Times New Roman" w:cs="Times New Roman"/>
          <w:sz w:val="24"/>
          <w:szCs w:val="24"/>
          <w:lang w:val="en-US"/>
        </w:rPr>
        <w:t xml:space="preserve"> [</w:t>
      </w:r>
      <w:r w:rsidR="0024741E" w:rsidRPr="006D1F1A">
        <w:rPr>
          <w:rFonts w:ascii="Times New Roman" w:hAnsi="Times New Roman" w:cs="Times New Roman"/>
          <w:bCs/>
          <w:sz w:val="24"/>
          <w:szCs w:val="24"/>
          <w:lang w:val="en-US"/>
        </w:rPr>
        <w:t>Semenov</w:t>
      </w:r>
      <w:r w:rsidR="0024741E" w:rsidRPr="0085476E">
        <w:rPr>
          <w:rFonts w:ascii="Times New Roman" w:hAnsi="Times New Roman" w:cs="Times New Roman"/>
          <w:bCs/>
          <w:sz w:val="24"/>
          <w:szCs w:val="24"/>
          <w:lang w:val="en-US"/>
        </w:rPr>
        <w:t xml:space="preserve">, </w:t>
      </w:r>
      <w:proofErr w:type="spellStart"/>
      <w:r w:rsidR="0024741E" w:rsidRPr="006D1F1A">
        <w:rPr>
          <w:rFonts w:ascii="Times New Roman" w:hAnsi="Times New Roman" w:cs="Times New Roman"/>
          <w:bCs/>
          <w:sz w:val="24"/>
          <w:szCs w:val="24"/>
          <w:lang w:val="en-US"/>
        </w:rPr>
        <w:t>Golovtsova</w:t>
      </w:r>
      <w:proofErr w:type="spellEnd"/>
      <w:r w:rsidR="0024741E" w:rsidRPr="0085476E">
        <w:rPr>
          <w:rFonts w:ascii="Times New Roman" w:hAnsi="Times New Roman" w:cs="Times New Roman"/>
          <w:bCs/>
          <w:sz w:val="24"/>
          <w:szCs w:val="24"/>
          <w:lang w:val="en-US"/>
        </w:rPr>
        <w:t xml:space="preserve"> 2016; </w:t>
      </w:r>
      <w:proofErr w:type="spellStart"/>
      <w:r w:rsidR="0024741E" w:rsidRPr="006D1F1A">
        <w:rPr>
          <w:rFonts w:ascii="Times New Roman" w:hAnsi="Times New Roman" w:cs="Times New Roman"/>
          <w:bCs/>
          <w:sz w:val="24"/>
          <w:szCs w:val="24"/>
          <w:lang w:val="en-US"/>
        </w:rPr>
        <w:t>Dobrovinsky</w:t>
      </w:r>
      <w:proofErr w:type="spellEnd"/>
      <w:r w:rsidR="0024741E" w:rsidRPr="0085476E">
        <w:rPr>
          <w:rFonts w:ascii="Times New Roman" w:hAnsi="Times New Roman" w:cs="Times New Roman"/>
          <w:bCs/>
          <w:sz w:val="24"/>
          <w:szCs w:val="24"/>
          <w:lang w:val="en-US"/>
        </w:rPr>
        <w:t xml:space="preserve">, </w:t>
      </w:r>
      <w:r w:rsidR="0024741E" w:rsidRPr="006D1F1A">
        <w:rPr>
          <w:rFonts w:ascii="Times New Roman" w:hAnsi="Times New Roman" w:cs="Times New Roman"/>
          <w:bCs/>
          <w:sz w:val="24"/>
          <w:szCs w:val="24"/>
          <w:lang w:val="en-US"/>
        </w:rPr>
        <w:t>Demyanenko</w:t>
      </w:r>
      <w:r w:rsidR="0024741E" w:rsidRPr="0085476E">
        <w:rPr>
          <w:rFonts w:ascii="Times New Roman" w:hAnsi="Times New Roman" w:cs="Times New Roman"/>
          <w:bCs/>
          <w:sz w:val="24"/>
          <w:szCs w:val="24"/>
          <w:lang w:val="en-US"/>
        </w:rPr>
        <w:t xml:space="preserve"> 2011; </w:t>
      </w:r>
      <w:proofErr w:type="spellStart"/>
      <w:r w:rsidR="0024741E">
        <w:rPr>
          <w:rFonts w:ascii="Times New Roman" w:hAnsi="Times New Roman" w:cs="Times New Roman"/>
          <w:bCs/>
          <w:sz w:val="24"/>
          <w:szCs w:val="24"/>
          <w:lang w:val="en-US"/>
        </w:rPr>
        <w:t>G</w:t>
      </w:r>
      <w:r w:rsidR="0024741E" w:rsidRPr="006D1F1A">
        <w:rPr>
          <w:rFonts w:ascii="Times New Roman" w:hAnsi="Times New Roman" w:cs="Times New Roman"/>
          <w:bCs/>
          <w:sz w:val="24"/>
          <w:szCs w:val="24"/>
          <w:lang w:val="en-US"/>
        </w:rPr>
        <w:t>erasimenko</w:t>
      </w:r>
      <w:proofErr w:type="spellEnd"/>
      <w:r w:rsidR="0024741E" w:rsidRPr="0085476E">
        <w:rPr>
          <w:rFonts w:ascii="Times New Roman" w:hAnsi="Times New Roman" w:cs="Times New Roman"/>
          <w:bCs/>
          <w:sz w:val="24"/>
          <w:szCs w:val="24"/>
          <w:lang w:val="en-US"/>
        </w:rPr>
        <w:t xml:space="preserve"> 2017; </w:t>
      </w:r>
      <w:proofErr w:type="spellStart"/>
      <w:r w:rsidR="0024741E" w:rsidRPr="006D1F1A">
        <w:rPr>
          <w:rFonts w:ascii="Times New Roman" w:hAnsi="Times New Roman" w:cs="Times New Roman"/>
          <w:bCs/>
          <w:sz w:val="24"/>
          <w:szCs w:val="24"/>
          <w:lang w:val="en-US"/>
        </w:rPr>
        <w:t>Shash</w:t>
      </w:r>
      <w:proofErr w:type="spellEnd"/>
      <w:r w:rsidR="0024741E" w:rsidRPr="0085476E">
        <w:rPr>
          <w:rFonts w:ascii="Times New Roman" w:hAnsi="Times New Roman" w:cs="Times New Roman"/>
          <w:bCs/>
          <w:sz w:val="24"/>
          <w:szCs w:val="24"/>
          <w:lang w:val="en-US"/>
        </w:rPr>
        <w:t xml:space="preserve"> 2006</w:t>
      </w:r>
      <w:r w:rsidR="0024741E" w:rsidRPr="0085476E">
        <w:rPr>
          <w:rFonts w:ascii="Times New Roman" w:hAnsi="Times New Roman" w:cs="Times New Roman"/>
          <w:sz w:val="24"/>
          <w:szCs w:val="24"/>
          <w:lang w:val="en-US"/>
        </w:rPr>
        <w:t>]</w:t>
      </w:r>
      <w:r w:rsidR="002805FC" w:rsidRPr="0085476E">
        <w:rPr>
          <w:rFonts w:ascii="Times New Roman" w:hAnsi="Times New Roman" w:cs="Times New Roman"/>
          <w:sz w:val="24"/>
          <w:szCs w:val="24"/>
          <w:lang w:val="en-US"/>
        </w:rPr>
        <w:t xml:space="preserve">. </w:t>
      </w:r>
      <w:r w:rsidR="009A4462" w:rsidRPr="009A4462">
        <w:rPr>
          <w:rFonts w:ascii="Times New Roman" w:hAnsi="Times New Roman" w:cs="Times New Roman"/>
          <w:sz w:val="24"/>
          <w:szCs w:val="24"/>
          <w:lang w:val="en-US"/>
        </w:rPr>
        <w:t>The methodology for human capital evaluation from the perspective of its consideration within the framework of an economic entity is determined by a number of the following indicators: age of employees, education level, diploma score, employee experience in a given organization, staff turnover, wages, employee's working time, sales volume by each employee, the volume of orders completed by an employee and others.</w:t>
      </w:r>
    </w:p>
    <w:p w14:paraId="6FDA74B5" w14:textId="77777777" w:rsidR="00CB018A" w:rsidRPr="00CB018A" w:rsidRDefault="009A4462" w:rsidP="00CB018A">
      <w:pPr>
        <w:spacing w:after="0" w:line="240" w:lineRule="auto"/>
        <w:ind w:firstLine="720"/>
        <w:jc w:val="both"/>
        <w:rPr>
          <w:rFonts w:ascii="Times New Roman" w:hAnsi="Times New Roman" w:cs="Times New Roman"/>
          <w:sz w:val="24"/>
          <w:szCs w:val="24"/>
          <w:lang w:val="en-US"/>
        </w:rPr>
      </w:pPr>
      <w:r w:rsidRPr="009A4462">
        <w:rPr>
          <w:rFonts w:ascii="Times New Roman" w:hAnsi="Times New Roman" w:cs="Times New Roman"/>
          <w:sz w:val="24"/>
          <w:szCs w:val="24"/>
          <w:lang w:val="en-US"/>
        </w:rPr>
        <w:lastRenderedPageBreak/>
        <w:t xml:space="preserve">At that, if we consider the assessment of human capital in a wide range, taking into account regional and sectoral characteristics, then a number of authors can also be distinguished in this context, including </w:t>
      </w:r>
      <w:proofErr w:type="spellStart"/>
      <w:r w:rsidRPr="009A4462">
        <w:rPr>
          <w:rFonts w:ascii="Times New Roman" w:hAnsi="Times New Roman" w:cs="Times New Roman"/>
          <w:sz w:val="24"/>
          <w:szCs w:val="24"/>
          <w:lang w:val="en-US"/>
        </w:rPr>
        <w:t>Gafarova</w:t>
      </w:r>
      <w:proofErr w:type="spellEnd"/>
      <w:r w:rsidRPr="009A4462">
        <w:rPr>
          <w:rFonts w:ascii="Times New Roman" w:hAnsi="Times New Roman" w:cs="Times New Roman"/>
          <w:sz w:val="24"/>
          <w:szCs w:val="24"/>
          <w:lang w:val="en-US"/>
        </w:rPr>
        <w:t xml:space="preserve"> E.A., Kantor O.G., </w:t>
      </w:r>
      <w:proofErr w:type="spellStart"/>
      <w:r w:rsidRPr="009A4462">
        <w:rPr>
          <w:rFonts w:ascii="Times New Roman" w:hAnsi="Times New Roman" w:cs="Times New Roman"/>
          <w:sz w:val="24"/>
          <w:szCs w:val="24"/>
          <w:lang w:val="en-US"/>
        </w:rPr>
        <w:t>Koloskova</w:t>
      </w:r>
      <w:proofErr w:type="spellEnd"/>
      <w:r w:rsidRPr="009A4462">
        <w:rPr>
          <w:rFonts w:ascii="Times New Roman" w:hAnsi="Times New Roman" w:cs="Times New Roman"/>
          <w:sz w:val="24"/>
          <w:szCs w:val="24"/>
          <w:lang w:val="en-US"/>
        </w:rPr>
        <w:t xml:space="preserve"> </w:t>
      </w:r>
      <w:proofErr w:type="spellStart"/>
      <w:r w:rsidRPr="009A4462">
        <w:rPr>
          <w:rFonts w:ascii="Times New Roman" w:hAnsi="Times New Roman" w:cs="Times New Roman"/>
          <w:sz w:val="24"/>
          <w:szCs w:val="24"/>
          <w:lang w:val="en-US"/>
        </w:rPr>
        <w:t>Yu.I</w:t>
      </w:r>
      <w:proofErr w:type="spellEnd"/>
      <w:r w:rsidR="00392928" w:rsidRPr="009A4462">
        <w:rPr>
          <w:rFonts w:ascii="Times New Roman" w:hAnsi="Times New Roman" w:cs="Times New Roman"/>
          <w:sz w:val="24"/>
          <w:szCs w:val="24"/>
          <w:lang w:val="en-US"/>
        </w:rPr>
        <w:t xml:space="preserve">. </w:t>
      </w:r>
      <w:r w:rsidR="0024741E" w:rsidRPr="00732A4B">
        <w:rPr>
          <w:rFonts w:ascii="Times New Roman" w:hAnsi="Times New Roman" w:cs="Times New Roman"/>
          <w:sz w:val="24"/>
          <w:szCs w:val="24"/>
          <w:lang w:val="en-US"/>
        </w:rPr>
        <w:t>[</w:t>
      </w:r>
      <w:proofErr w:type="spellStart"/>
      <w:r w:rsidR="0024741E" w:rsidRPr="00732A4B">
        <w:rPr>
          <w:rFonts w:ascii="Times New Roman" w:hAnsi="Times New Roman" w:cs="Times New Roman"/>
          <w:sz w:val="24"/>
          <w:szCs w:val="24"/>
          <w:lang w:val="en-US"/>
        </w:rPr>
        <w:t>Gafarova</w:t>
      </w:r>
      <w:proofErr w:type="spellEnd"/>
      <w:r w:rsidR="0024741E" w:rsidRPr="00732A4B">
        <w:rPr>
          <w:rFonts w:ascii="Times New Roman" w:hAnsi="Times New Roman" w:cs="Times New Roman"/>
          <w:sz w:val="24"/>
          <w:szCs w:val="24"/>
          <w:lang w:val="en-US"/>
        </w:rPr>
        <w:t xml:space="preserve">, Kantor 2018; </w:t>
      </w:r>
      <w:proofErr w:type="spellStart"/>
      <w:r w:rsidR="0024741E" w:rsidRPr="00732A4B">
        <w:rPr>
          <w:rFonts w:ascii="Times New Roman" w:hAnsi="Times New Roman" w:cs="Times New Roman"/>
          <w:sz w:val="24"/>
          <w:szCs w:val="24"/>
          <w:lang w:val="en-US"/>
        </w:rPr>
        <w:t>Koloskova</w:t>
      </w:r>
      <w:proofErr w:type="spellEnd"/>
      <w:r w:rsidR="0024741E" w:rsidRPr="00732A4B">
        <w:rPr>
          <w:rFonts w:ascii="Times New Roman" w:hAnsi="Times New Roman" w:cs="Times New Roman"/>
          <w:sz w:val="24"/>
          <w:szCs w:val="24"/>
          <w:lang w:val="en-US"/>
        </w:rPr>
        <w:t xml:space="preserve"> 2016]. </w:t>
      </w:r>
      <w:r w:rsidR="00CB018A" w:rsidRPr="00CB018A">
        <w:rPr>
          <w:rFonts w:ascii="Times New Roman" w:hAnsi="Times New Roman" w:cs="Times New Roman"/>
          <w:sz w:val="24"/>
          <w:szCs w:val="24"/>
          <w:lang w:val="en-US"/>
        </w:rPr>
        <w:t>These researchers propose to assess human capital through such indicators as the average number of education years among employed in the economy, population literacy, the number of permanent or employed population with different levels of education, the number and share of researchers among population or among employees, coverage of the population with various levels of education; the share of expenditures on education, science, health care and socio-cultural activities in the GRP; infant mortality, life expectancy at birth. The listed indicators are referred to the representative (or indicative) method. The index method, based on the human capital index and the human development index is also highlighted. In addition to the indicated methods, both the cost method (the method of costs or the method of past effort evaluation) and the income method (the method of assessing returns or the method of earnings capitalization) are declared, which are focused on the indicators for assessing public and private investments in human capital (most often investments in formal education and health care), as well as on discounted lifetime earnings (annual income during working life) minus lost earnings and education costs, respectively. One can also single out the assessment indicators based on regional aspects exclusively: life expectancy, educational level, average wages, the subsistence minimum amount, the number of enterprises; unemployment rate.</w:t>
      </w:r>
    </w:p>
    <w:p w14:paraId="2ABC471B" w14:textId="77777777" w:rsidR="00CB018A" w:rsidRPr="00CB018A" w:rsidRDefault="00CB018A" w:rsidP="00CB018A">
      <w:pPr>
        <w:spacing w:after="0" w:line="240" w:lineRule="auto"/>
        <w:ind w:firstLine="720"/>
        <w:jc w:val="both"/>
        <w:rPr>
          <w:rFonts w:ascii="Times New Roman" w:hAnsi="Times New Roman" w:cs="Times New Roman"/>
          <w:sz w:val="24"/>
          <w:szCs w:val="24"/>
          <w:lang w:val="en-US"/>
        </w:rPr>
      </w:pPr>
      <w:r w:rsidRPr="00CB018A">
        <w:rPr>
          <w:rFonts w:ascii="Times New Roman" w:hAnsi="Times New Roman" w:cs="Times New Roman"/>
          <w:sz w:val="24"/>
          <w:szCs w:val="24"/>
          <w:lang w:val="en-US"/>
        </w:rPr>
        <w:t>For the purposes of further research and proof of the position that the specificity of human capital development can be both a constraining and an activating factor for a territory competitiveness increase, it is the indicators applicable to regional characteristics that will become the basis for human capital evaluation.</w:t>
      </w:r>
    </w:p>
    <w:p w14:paraId="14009A52" w14:textId="77777777" w:rsidR="00CB018A" w:rsidRPr="00CB018A" w:rsidRDefault="00CB018A" w:rsidP="00CB018A">
      <w:pPr>
        <w:spacing w:after="0" w:line="240" w:lineRule="auto"/>
        <w:ind w:firstLine="720"/>
        <w:jc w:val="both"/>
        <w:rPr>
          <w:rFonts w:ascii="Times New Roman" w:hAnsi="Times New Roman" w:cs="Times New Roman"/>
          <w:sz w:val="24"/>
          <w:szCs w:val="24"/>
          <w:lang w:val="en-US"/>
        </w:rPr>
      </w:pPr>
      <w:r w:rsidRPr="00CB018A">
        <w:rPr>
          <w:rFonts w:ascii="Times New Roman" w:hAnsi="Times New Roman" w:cs="Times New Roman"/>
          <w:sz w:val="24"/>
          <w:szCs w:val="24"/>
          <w:lang w:val="en-US"/>
        </w:rPr>
        <w:t>The next stage of the study is to determine the indicators necessary to assess the territory competitiveness. There is also a number of interpretations, models and sets of indicators in this regard.</w:t>
      </w:r>
    </w:p>
    <w:p w14:paraId="762D0883" w14:textId="77777777" w:rsidR="00CB018A" w:rsidRPr="00CB018A" w:rsidRDefault="00CB018A" w:rsidP="00CB018A">
      <w:pPr>
        <w:spacing w:after="0" w:line="240" w:lineRule="auto"/>
        <w:ind w:firstLine="720"/>
        <w:jc w:val="both"/>
        <w:rPr>
          <w:rFonts w:ascii="Times New Roman" w:hAnsi="Times New Roman" w:cs="Times New Roman"/>
          <w:sz w:val="24"/>
          <w:szCs w:val="24"/>
          <w:lang w:val="en-US"/>
        </w:rPr>
      </w:pPr>
      <w:r w:rsidRPr="00CB018A">
        <w:rPr>
          <w:rFonts w:ascii="Times New Roman" w:hAnsi="Times New Roman" w:cs="Times New Roman"/>
          <w:sz w:val="24"/>
          <w:szCs w:val="24"/>
          <w:lang w:val="en-US"/>
        </w:rPr>
        <w:t xml:space="preserve">A number of authors define competitiveness in terms of its relationship to a particular industry. For example, Marina </w:t>
      </w:r>
      <w:proofErr w:type="spellStart"/>
      <w:r w:rsidRPr="00CB018A">
        <w:rPr>
          <w:rFonts w:ascii="Times New Roman" w:hAnsi="Times New Roman" w:cs="Times New Roman"/>
          <w:sz w:val="24"/>
          <w:szCs w:val="24"/>
          <w:lang w:val="en-US"/>
        </w:rPr>
        <w:t>Anatolyevna</w:t>
      </w:r>
      <w:proofErr w:type="spellEnd"/>
      <w:r w:rsidRPr="00CB018A">
        <w:rPr>
          <w:rFonts w:ascii="Times New Roman" w:hAnsi="Times New Roman" w:cs="Times New Roman"/>
          <w:sz w:val="24"/>
          <w:szCs w:val="24"/>
          <w:lang w:val="en-US"/>
        </w:rPr>
        <w:t xml:space="preserve"> </w:t>
      </w:r>
      <w:proofErr w:type="spellStart"/>
      <w:r w:rsidRPr="00CB018A">
        <w:rPr>
          <w:rFonts w:ascii="Times New Roman" w:hAnsi="Times New Roman" w:cs="Times New Roman"/>
          <w:sz w:val="24"/>
          <w:szCs w:val="24"/>
          <w:lang w:val="en-US"/>
        </w:rPr>
        <w:t>Rodaykina</w:t>
      </w:r>
      <w:proofErr w:type="spellEnd"/>
      <w:r w:rsidRPr="00CB018A">
        <w:rPr>
          <w:rFonts w:ascii="Times New Roman" w:hAnsi="Times New Roman" w:cs="Times New Roman"/>
          <w:sz w:val="24"/>
          <w:szCs w:val="24"/>
          <w:lang w:val="en-US"/>
        </w:rPr>
        <w:t xml:space="preserve"> developed a methodological approach through her thesis to assess and regulate the competitiveness of regional construction organizations based on a system of indicators that take into account the regional specifics of their functioning; characterizing the financial and marketing activities of organizations, their personnel and production potential. This methodological approach makes it possible to assess competitiveness at the meso and micro levels [</w:t>
      </w:r>
      <w:proofErr w:type="spellStart"/>
      <w:r w:rsidRPr="00CB018A">
        <w:rPr>
          <w:rFonts w:ascii="Times New Roman" w:hAnsi="Times New Roman" w:cs="Times New Roman"/>
          <w:sz w:val="24"/>
          <w:szCs w:val="24"/>
          <w:lang w:val="en-US"/>
        </w:rPr>
        <w:t>Rodaykina</w:t>
      </w:r>
      <w:proofErr w:type="spellEnd"/>
      <w:r w:rsidRPr="00CB018A">
        <w:rPr>
          <w:rFonts w:ascii="Times New Roman" w:hAnsi="Times New Roman" w:cs="Times New Roman"/>
          <w:sz w:val="24"/>
          <w:szCs w:val="24"/>
          <w:lang w:val="en-US"/>
        </w:rPr>
        <w:t xml:space="preserve"> 2008]. Also, </w:t>
      </w:r>
      <w:proofErr w:type="spellStart"/>
      <w:r w:rsidRPr="00CB018A">
        <w:rPr>
          <w:rFonts w:ascii="Times New Roman" w:hAnsi="Times New Roman" w:cs="Times New Roman"/>
          <w:sz w:val="24"/>
          <w:szCs w:val="24"/>
          <w:lang w:val="en-US"/>
        </w:rPr>
        <w:t>Rodaykina</w:t>
      </w:r>
      <w:proofErr w:type="spellEnd"/>
      <w:r w:rsidRPr="00CB018A">
        <w:rPr>
          <w:rFonts w:ascii="Times New Roman" w:hAnsi="Times New Roman" w:cs="Times New Roman"/>
          <w:sz w:val="24"/>
          <w:szCs w:val="24"/>
          <w:lang w:val="en-US"/>
        </w:rPr>
        <w:t xml:space="preserve"> M.A. developed a rating assessment of regional construction organization competitiveness, which makes it possible to implement a scientifically grounded approach to the regulation of their activities based on the ranking of basic indicators of competitiveness, which include the amount of income received, the average wage volume, the number of employees, etc.</w:t>
      </w:r>
    </w:p>
    <w:p w14:paraId="7958F551" w14:textId="4E2F027E" w:rsidR="007E0420" w:rsidRPr="00CB018A" w:rsidRDefault="00CB018A" w:rsidP="00CB018A">
      <w:pPr>
        <w:spacing w:after="0" w:line="240" w:lineRule="auto"/>
        <w:ind w:firstLine="720"/>
        <w:jc w:val="both"/>
        <w:rPr>
          <w:rFonts w:ascii="Times New Roman" w:hAnsi="Times New Roman" w:cs="Times New Roman"/>
          <w:sz w:val="24"/>
          <w:szCs w:val="24"/>
          <w:lang w:val="en-US"/>
        </w:rPr>
      </w:pPr>
      <w:proofErr w:type="spellStart"/>
      <w:r w:rsidRPr="00CB018A">
        <w:rPr>
          <w:rFonts w:ascii="Times New Roman" w:hAnsi="Times New Roman" w:cs="Times New Roman"/>
          <w:sz w:val="24"/>
          <w:szCs w:val="24"/>
          <w:lang w:val="en-US"/>
        </w:rPr>
        <w:t>Leonova</w:t>
      </w:r>
      <w:proofErr w:type="spellEnd"/>
      <w:r w:rsidRPr="00CB018A">
        <w:rPr>
          <w:rFonts w:ascii="Times New Roman" w:hAnsi="Times New Roman" w:cs="Times New Roman"/>
          <w:sz w:val="24"/>
          <w:szCs w:val="24"/>
          <w:lang w:val="en-US"/>
        </w:rPr>
        <w:t xml:space="preserve"> N.A. offers a rank method to determine competitiveness, which consists of a studied territory place determination in a certain system of compared territories [</w:t>
      </w:r>
      <w:proofErr w:type="spellStart"/>
      <w:r w:rsidRPr="00CB018A">
        <w:rPr>
          <w:rFonts w:ascii="Times New Roman" w:hAnsi="Times New Roman" w:cs="Times New Roman"/>
          <w:sz w:val="24"/>
          <w:szCs w:val="24"/>
          <w:lang w:val="en-US"/>
        </w:rPr>
        <w:t>Leonova</w:t>
      </w:r>
      <w:proofErr w:type="spellEnd"/>
      <w:r w:rsidRPr="00CB018A">
        <w:rPr>
          <w:rFonts w:ascii="Times New Roman" w:hAnsi="Times New Roman" w:cs="Times New Roman"/>
          <w:sz w:val="24"/>
          <w:szCs w:val="24"/>
          <w:lang w:val="en-US"/>
        </w:rPr>
        <w:t xml:space="preserve"> 2006]. Also, the designated method is called potential determination method: resource potential (geographic location, availability of natural resources), quality of life potential (social protection level, population safety degree, opportunities for housing service obtaining, quality of housing, cultural environment quality, etc.), financial potential (budgetary strength, the level of banking, financial, insurance infrastructure, investment climate development, etc.), environmental potential (quality of water, air, the environment state, beauty of landscapes, etc.), and organizational potential (political stability, efficiency of management structures, etc.)</w:t>
      </w:r>
      <w:r w:rsidR="007E0420" w:rsidRPr="00CB018A">
        <w:rPr>
          <w:rFonts w:ascii="Times New Roman" w:hAnsi="Times New Roman" w:cs="Times New Roman"/>
          <w:sz w:val="24"/>
          <w:szCs w:val="24"/>
          <w:lang w:val="en-US"/>
        </w:rPr>
        <w:t xml:space="preserve">. </w:t>
      </w:r>
    </w:p>
    <w:p w14:paraId="64C81F88" w14:textId="1BFEFF57" w:rsidR="00490107" w:rsidRPr="00CC43E5" w:rsidRDefault="00CC43E5" w:rsidP="00075B40">
      <w:pPr>
        <w:widowControl w:val="0"/>
        <w:spacing w:after="0" w:line="240" w:lineRule="auto"/>
        <w:ind w:firstLine="709"/>
        <w:jc w:val="both"/>
        <w:rPr>
          <w:rFonts w:ascii="Times New Roman" w:hAnsi="Times New Roman" w:cs="Times New Roman"/>
          <w:sz w:val="24"/>
          <w:szCs w:val="24"/>
          <w:lang w:val="en-US"/>
        </w:rPr>
      </w:pPr>
      <w:r w:rsidRPr="00CC43E5">
        <w:rPr>
          <w:rFonts w:ascii="Times New Roman" w:hAnsi="Times New Roman" w:cs="Times New Roman"/>
          <w:sz w:val="24"/>
          <w:szCs w:val="24"/>
          <w:lang w:val="en-US"/>
        </w:rPr>
        <w:t>To apply the rank method, it is not necessary to cover the entire range of available indicators characterizing the development trends of a territory; one can restrict oneself to choose a group of several indicators that most clearly characterize competitiveness. Spatial criteria for comparing territories can be changed depending on the task of the study, it is possible to identify the dynamics of rank changes according to the types of indicators under study for a certain period of time, which is a relative measurement of a higher order of trends in territory competitiveness change</w:t>
      </w:r>
      <w:r w:rsidR="00490107" w:rsidRPr="00CC43E5">
        <w:rPr>
          <w:rFonts w:ascii="Times New Roman" w:hAnsi="Times New Roman" w:cs="Times New Roman"/>
          <w:sz w:val="24"/>
          <w:szCs w:val="24"/>
          <w:lang w:val="en-US"/>
        </w:rPr>
        <w:t>.</w:t>
      </w:r>
      <w:r w:rsidR="007E0420" w:rsidRPr="00CC43E5">
        <w:rPr>
          <w:rFonts w:ascii="Times New Roman" w:hAnsi="Times New Roman" w:cs="Times New Roman"/>
          <w:sz w:val="24"/>
          <w:szCs w:val="24"/>
          <w:lang w:val="en-US"/>
        </w:rPr>
        <w:t xml:space="preserve"> </w:t>
      </w:r>
    </w:p>
    <w:p w14:paraId="274BB6FA" w14:textId="77777777" w:rsidR="001D0C1B" w:rsidRPr="001D0C1B" w:rsidRDefault="001D0C1B" w:rsidP="001D0C1B">
      <w:pPr>
        <w:widowControl w:val="0"/>
        <w:spacing w:after="0" w:line="240" w:lineRule="auto"/>
        <w:ind w:firstLine="709"/>
        <w:jc w:val="both"/>
        <w:rPr>
          <w:rFonts w:ascii="Times New Roman" w:hAnsi="Times New Roman" w:cs="Times New Roman"/>
          <w:sz w:val="24"/>
          <w:szCs w:val="24"/>
          <w:lang w:val="en-US"/>
        </w:rPr>
      </w:pPr>
      <w:r w:rsidRPr="001D0C1B">
        <w:rPr>
          <w:rFonts w:ascii="Times New Roman" w:hAnsi="Times New Roman" w:cs="Times New Roman"/>
          <w:sz w:val="24"/>
          <w:szCs w:val="24"/>
          <w:lang w:val="en-US"/>
        </w:rPr>
        <w:t xml:space="preserve">The rating assessment of competitiveness is considered by </w:t>
      </w:r>
      <w:proofErr w:type="spellStart"/>
      <w:r w:rsidRPr="001D0C1B">
        <w:rPr>
          <w:rFonts w:ascii="Times New Roman" w:hAnsi="Times New Roman" w:cs="Times New Roman"/>
          <w:sz w:val="24"/>
          <w:szCs w:val="24"/>
          <w:lang w:val="en-US"/>
        </w:rPr>
        <w:t>Botina</w:t>
      </w:r>
      <w:proofErr w:type="spellEnd"/>
      <w:r w:rsidRPr="001D0C1B">
        <w:rPr>
          <w:rFonts w:ascii="Times New Roman" w:hAnsi="Times New Roman" w:cs="Times New Roman"/>
          <w:sz w:val="24"/>
          <w:szCs w:val="24"/>
          <w:lang w:val="en-US"/>
        </w:rPr>
        <w:t xml:space="preserve"> E.N. and Kharlamov A.O. </w:t>
      </w:r>
      <w:r w:rsidRPr="001D0C1B">
        <w:rPr>
          <w:rFonts w:ascii="Times New Roman" w:hAnsi="Times New Roman" w:cs="Times New Roman"/>
          <w:sz w:val="24"/>
          <w:szCs w:val="24"/>
          <w:lang w:val="en-US"/>
        </w:rPr>
        <w:lastRenderedPageBreak/>
        <w:t>in their work [</w:t>
      </w:r>
      <w:proofErr w:type="spellStart"/>
      <w:r w:rsidRPr="001D0C1B">
        <w:rPr>
          <w:rFonts w:ascii="Times New Roman" w:hAnsi="Times New Roman" w:cs="Times New Roman"/>
          <w:sz w:val="24"/>
          <w:szCs w:val="24"/>
          <w:lang w:val="en-US"/>
        </w:rPr>
        <w:t>Botina</w:t>
      </w:r>
      <w:proofErr w:type="spellEnd"/>
      <w:r w:rsidRPr="001D0C1B">
        <w:rPr>
          <w:rFonts w:ascii="Times New Roman" w:hAnsi="Times New Roman" w:cs="Times New Roman"/>
          <w:sz w:val="24"/>
          <w:szCs w:val="24"/>
          <w:lang w:val="en-US"/>
        </w:rPr>
        <w:t xml:space="preserve">, </w:t>
      </w:r>
      <w:proofErr w:type="spellStart"/>
      <w:r w:rsidRPr="001D0C1B">
        <w:rPr>
          <w:rFonts w:ascii="Times New Roman" w:hAnsi="Times New Roman" w:cs="Times New Roman"/>
          <w:sz w:val="24"/>
          <w:szCs w:val="24"/>
          <w:lang w:val="en-US"/>
        </w:rPr>
        <w:t>Kharlamova</w:t>
      </w:r>
      <w:proofErr w:type="spellEnd"/>
      <w:r w:rsidRPr="001D0C1B">
        <w:rPr>
          <w:rFonts w:ascii="Times New Roman" w:hAnsi="Times New Roman" w:cs="Times New Roman"/>
          <w:sz w:val="24"/>
          <w:szCs w:val="24"/>
          <w:lang w:val="en-US"/>
        </w:rPr>
        <w:t xml:space="preserve"> 2018]. The system of indicators for such an assessment is based on statistical data, as well as on the indicators calculated on the basis of these data. The rating evaluation uses the method of multivariate correlation-regression analysis using a linear model.</w:t>
      </w:r>
    </w:p>
    <w:p w14:paraId="1EB74F57" w14:textId="77777777" w:rsidR="001D0C1B" w:rsidRPr="001D0C1B" w:rsidRDefault="001D0C1B" w:rsidP="001D0C1B">
      <w:pPr>
        <w:widowControl w:val="0"/>
        <w:spacing w:after="0" w:line="240" w:lineRule="auto"/>
        <w:ind w:firstLine="709"/>
        <w:jc w:val="both"/>
        <w:rPr>
          <w:rFonts w:ascii="Times New Roman" w:hAnsi="Times New Roman" w:cs="Times New Roman"/>
          <w:sz w:val="24"/>
          <w:szCs w:val="24"/>
          <w:lang w:val="en-US"/>
        </w:rPr>
      </w:pPr>
      <w:r w:rsidRPr="001D0C1B">
        <w:rPr>
          <w:rFonts w:ascii="Times New Roman" w:hAnsi="Times New Roman" w:cs="Times New Roman"/>
          <w:sz w:val="24"/>
          <w:szCs w:val="24"/>
          <w:lang w:val="en-US"/>
        </w:rPr>
        <w:t>There is also an integral assessment system, which is based on three systems of indicators: a system of indicators of a region economic potential, a system of indicators of regional efficiency, and a system of indicators of competitive advantages. This method of a region competitiveness evaluation involves calculation of the integral coefficient of a region competitiveness using the geometric mean formula.</w:t>
      </w:r>
    </w:p>
    <w:p w14:paraId="796B911F" w14:textId="77777777" w:rsidR="001D0C1B" w:rsidRPr="001D0C1B" w:rsidRDefault="001D0C1B" w:rsidP="001D0C1B">
      <w:pPr>
        <w:widowControl w:val="0"/>
        <w:spacing w:after="0" w:line="240" w:lineRule="auto"/>
        <w:ind w:firstLine="709"/>
        <w:jc w:val="both"/>
        <w:rPr>
          <w:rFonts w:ascii="Times New Roman" w:hAnsi="Times New Roman" w:cs="Times New Roman"/>
          <w:sz w:val="24"/>
          <w:szCs w:val="24"/>
          <w:lang w:val="en-US"/>
        </w:rPr>
      </w:pPr>
      <w:r w:rsidRPr="001D0C1B">
        <w:rPr>
          <w:rFonts w:ascii="Times New Roman" w:hAnsi="Times New Roman" w:cs="Times New Roman"/>
          <w:sz w:val="24"/>
          <w:szCs w:val="24"/>
          <w:lang w:val="en-US"/>
        </w:rPr>
        <w:t xml:space="preserve">N.E. </w:t>
      </w:r>
      <w:proofErr w:type="spellStart"/>
      <w:r w:rsidRPr="001D0C1B">
        <w:rPr>
          <w:rFonts w:ascii="Times New Roman" w:hAnsi="Times New Roman" w:cs="Times New Roman"/>
          <w:sz w:val="24"/>
          <w:szCs w:val="24"/>
          <w:lang w:val="en-US"/>
        </w:rPr>
        <w:t>Kostyleva</w:t>
      </w:r>
      <w:proofErr w:type="spellEnd"/>
      <w:r w:rsidRPr="001D0C1B">
        <w:rPr>
          <w:rFonts w:ascii="Times New Roman" w:hAnsi="Times New Roman" w:cs="Times New Roman"/>
          <w:sz w:val="24"/>
          <w:szCs w:val="24"/>
          <w:lang w:val="en-US"/>
        </w:rPr>
        <w:t xml:space="preserve"> suggests using the rank method and the method of the territory potential measurement [</w:t>
      </w:r>
      <w:proofErr w:type="spellStart"/>
      <w:r w:rsidRPr="001D0C1B">
        <w:rPr>
          <w:rFonts w:ascii="Times New Roman" w:hAnsi="Times New Roman" w:cs="Times New Roman"/>
          <w:sz w:val="24"/>
          <w:szCs w:val="24"/>
          <w:lang w:val="en-US"/>
        </w:rPr>
        <w:t>Kostyleva</w:t>
      </w:r>
      <w:proofErr w:type="spellEnd"/>
      <w:r w:rsidRPr="001D0C1B">
        <w:rPr>
          <w:rFonts w:ascii="Times New Roman" w:hAnsi="Times New Roman" w:cs="Times New Roman"/>
          <w:sz w:val="24"/>
          <w:szCs w:val="24"/>
          <w:lang w:val="en-US"/>
        </w:rPr>
        <w:t xml:space="preserve"> 2005]. Within the framework of the first one, a rank assessment is carried out according to the group that characterizes the geographical position and socio-economic development of regions, which makes it possible to assess the overall socio-economic competitiveness of a region in the space of the country. This methodology distinguishes three groups of parameters: socio-economic assessment of competitiveness, the level of the region specialization, assessment of the region profile by the share of certain types of industrial product production in all-Russian production. The second approach is based on measuring the territorial potential: resource, financial, environmental and organizational.</w:t>
      </w:r>
    </w:p>
    <w:p w14:paraId="2EAB4E45" w14:textId="51F5B35C" w:rsidR="001D0C1B" w:rsidRPr="001D0C1B" w:rsidRDefault="001D0C1B" w:rsidP="001D0C1B">
      <w:pPr>
        <w:widowControl w:val="0"/>
        <w:spacing w:after="0" w:line="240" w:lineRule="auto"/>
        <w:ind w:firstLine="709"/>
        <w:jc w:val="both"/>
        <w:rPr>
          <w:rFonts w:ascii="Times New Roman" w:hAnsi="Times New Roman" w:cs="Times New Roman"/>
          <w:sz w:val="24"/>
          <w:szCs w:val="24"/>
          <w:lang w:val="en-US"/>
        </w:rPr>
      </w:pPr>
      <w:r w:rsidRPr="001D0C1B">
        <w:rPr>
          <w:rFonts w:ascii="Times New Roman" w:hAnsi="Times New Roman" w:cs="Times New Roman"/>
          <w:sz w:val="24"/>
          <w:szCs w:val="24"/>
          <w:lang w:val="en-US"/>
        </w:rPr>
        <w:t xml:space="preserve">A.V. </w:t>
      </w:r>
      <w:proofErr w:type="spellStart"/>
      <w:r w:rsidRPr="001D0C1B">
        <w:rPr>
          <w:rFonts w:ascii="Times New Roman" w:hAnsi="Times New Roman" w:cs="Times New Roman"/>
          <w:sz w:val="24"/>
          <w:szCs w:val="24"/>
          <w:lang w:val="en-US"/>
        </w:rPr>
        <w:t>Sycheva</w:t>
      </w:r>
      <w:proofErr w:type="spellEnd"/>
      <w:r w:rsidRPr="001D0C1B">
        <w:rPr>
          <w:rFonts w:ascii="Times New Roman" w:hAnsi="Times New Roman" w:cs="Times New Roman"/>
          <w:sz w:val="24"/>
          <w:szCs w:val="24"/>
          <w:lang w:val="en-US"/>
        </w:rPr>
        <w:t xml:space="preserve"> refers to the example of those authors who conducted the study of a city territory competitiveness</w:t>
      </w:r>
      <w:r w:rsidR="00920649">
        <w:rPr>
          <w:rFonts w:ascii="Times New Roman" w:hAnsi="Times New Roman" w:cs="Times New Roman"/>
          <w:sz w:val="24"/>
          <w:szCs w:val="24"/>
          <w:lang w:val="en-US"/>
        </w:rPr>
        <w:t xml:space="preserve"> </w:t>
      </w:r>
      <w:r w:rsidRPr="001D0C1B">
        <w:rPr>
          <w:rFonts w:ascii="Times New Roman" w:hAnsi="Times New Roman" w:cs="Times New Roman"/>
          <w:sz w:val="24"/>
          <w:szCs w:val="24"/>
          <w:lang w:val="en-US"/>
        </w:rPr>
        <w:t>[</w:t>
      </w:r>
      <w:proofErr w:type="spellStart"/>
      <w:r w:rsidRPr="001D0C1B">
        <w:rPr>
          <w:rFonts w:ascii="Times New Roman" w:hAnsi="Times New Roman" w:cs="Times New Roman"/>
          <w:sz w:val="24"/>
          <w:szCs w:val="24"/>
          <w:lang w:val="en-US"/>
        </w:rPr>
        <w:t>Sycheva</w:t>
      </w:r>
      <w:proofErr w:type="spellEnd"/>
      <w:r w:rsidRPr="001D0C1B">
        <w:rPr>
          <w:rFonts w:ascii="Times New Roman" w:hAnsi="Times New Roman" w:cs="Times New Roman"/>
          <w:sz w:val="24"/>
          <w:szCs w:val="24"/>
          <w:lang w:val="en-US"/>
        </w:rPr>
        <w:t xml:space="preserve"> 2013]. The key indicators of socio-economic development are presented in the form of a radar chart. For comparative analysis, the indicators of socio-economic development are selected averaged for Russia and the cities that are close in terms of population. Using the proposed diagram, you can compare the competitiveness of the analyzed territories with the average values for Russia. Making such an assessment for several previous periods, it is possible to determine promising programs to increase the city competitiveness, taking the existing advantages as a momentum and forming or promoting existing brands.</w:t>
      </w:r>
    </w:p>
    <w:p w14:paraId="7CE67837" w14:textId="77777777" w:rsidR="001D0C1B" w:rsidRPr="001D0C1B" w:rsidRDefault="001D0C1B" w:rsidP="001D0C1B">
      <w:pPr>
        <w:widowControl w:val="0"/>
        <w:spacing w:after="0" w:line="240" w:lineRule="auto"/>
        <w:ind w:firstLine="709"/>
        <w:jc w:val="both"/>
        <w:rPr>
          <w:rFonts w:ascii="Times New Roman" w:hAnsi="Times New Roman" w:cs="Times New Roman"/>
          <w:sz w:val="24"/>
          <w:szCs w:val="24"/>
          <w:lang w:val="en-US"/>
        </w:rPr>
      </w:pPr>
      <w:r w:rsidRPr="001D0C1B">
        <w:rPr>
          <w:rFonts w:ascii="Times New Roman" w:hAnsi="Times New Roman" w:cs="Times New Roman"/>
          <w:sz w:val="24"/>
          <w:szCs w:val="24"/>
          <w:lang w:val="en-US"/>
        </w:rPr>
        <w:t>Thus, the analysis of works on a territory (a region, a city, a business entity) competitiveness level evaluation by researchers demonstrates an ambiguous interpretation and a different set of indicators that measure competitiveness. At the same time, most of the researchers agree that the basic indicators for assessing the competitiveness of a territory can be the following ones: the volume of income (the value of the gross regional product), the number of employed people in the economy, the number of enterprises, the level of unemployment, the amount of funding for socially significant projects, etc.</w:t>
      </w:r>
    </w:p>
    <w:p w14:paraId="309EDD4D" w14:textId="77777777" w:rsidR="001D0C1B" w:rsidRPr="001D0C1B" w:rsidRDefault="001D0C1B" w:rsidP="001D0C1B">
      <w:pPr>
        <w:widowControl w:val="0"/>
        <w:spacing w:after="0" w:line="240" w:lineRule="auto"/>
        <w:ind w:firstLine="709"/>
        <w:jc w:val="both"/>
        <w:rPr>
          <w:rFonts w:ascii="Times New Roman" w:hAnsi="Times New Roman" w:cs="Times New Roman"/>
          <w:sz w:val="24"/>
          <w:szCs w:val="24"/>
          <w:lang w:val="en-US"/>
        </w:rPr>
      </w:pPr>
      <w:r w:rsidRPr="001D0C1B">
        <w:rPr>
          <w:rFonts w:ascii="Times New Roman" w:hAnsi="Times New Roman" w:cs="Times New Roman"/>
          <w:sz w:val="24"/>
          <w:szCs w:val="24"/>
          <w:lang w:val="en-US"/>
        </w:rPr>
        <w:t>The purpose of further research will be to prove the position that the development of human capital and the territory competitiveness are interconnected. Moreover, the development of human capital can be a factor in a territory competitiveness increase.</w:t>
      </w:r>
    </w:p>
    <w:p w14:paraId="599CAE9C" w14:textId="77777777" w:rsidR="001D0C1B" w:rsidRPr="001D0C1B" w:rsidRDefault="001D0C1B" w:rsidP="001D0C1B">
      <w:pPr>
        <w:widowControl w:val="0"/>
        <w:spacing w:after="0" w:line="240" w:lineRule="auto"/>
        <w:ind w:firstLine="709"/>
        <w:jc w:val="both"/>
        <w:rPr>
          <w:rFonts w:ascii="Times New Roman" w:hAnsi="Times New Roman" w:cs="Times New Roman"/>
          <w:sz w:val="24"/>
          <w:szCs w:val="24"/>
          <w:lang w:val="en-US"/>
        </w:rPr>
      </w:pPr>
    </w:p>
    <w:p w14:paraId="6AE37621" w14:textId="77777777" w:rsidR="001D0C1B" w:rsidRPr="001D0C1B" w:rsidRDefault="001D0C1B" w:rsidP="001D0C1B">
      <w:pPr>
        <w:widowControl w:val="0"/>
        <w:spacing w:after="0" w:line="240" w:lineRule="auto"/>
        <w:ind w:firstLine="709"/>
        <w:jc w:val="both"/>
        <w:rPr>
          <w:rFonts w:ascii="Times New Roman" w:hAnsi="Times New Roman" w:cs="Times New Roman"/>
          <w:b/>
          <w:bCs/>
          <w:sz w:val="24"/>
          <w:szCs w:val="24"/>
          <w:lang w:val="en-US"/>
        </w:rPr>
      </w:pPr>
      <w:r w:rsidRPr="001D0C1B">
        <w:rPr>
          <w:rFonts w:ascii="Times New Roman" w:hAnsi="Times New Roman" w:cs="Times New Roman"/>
          <w:b/>
          <w:bCs/>
          <w:sz w:val="24"/>
          <w:szCs w:val="24"/>
          <w:lang w:val="en-US"/>
        </w:rPr>
        <w:t>Methods</w:t>
      </w:r>
    </w:p>
    <w:p w14:paraId="3337B990" w14:textId="77777777" w:rsidR="001D0C1B" w:rsidRPr="001D0C1B" w:rsidRDefault="001D0C1B" w:rsidP="001D0C1B">
      <w:pPr>
        <w:widowControl w:val="0"/>
        <w:spacing w:after="0" w:line="240" w:lineRule="auto"/>
        <w:ind w:firstLine="709"/>
        <w:jc w:val="both"/>
        <w:rPr>
          <w:rFonts w:ascii="Times New Roman" w:hAnsi="Times New Roman" w:cs="Times New Roman"/>
          <w:sz w:val="24"/>
          <w:szCs w:val="24"/>
          <w:lang w:val="en-US"/>
        </w:rPr>
      </w:pPr>
      <w:r w:rsidRPr="001D0C1B">
        <w:rPr>
          <w:rFonts w:ascii="Times New Roman" w:hAnsi="Times New Roman" w:cs="Times New Roman"/>
          <w:sz w:val="24"/>
          <w:szCs w:val="24"/>
          <w:lang w:val="en-US"/>
        </w:rPr>
        <w:t>The research methods were the analysis and synthesis of the theoretical base. The theoretical and methodological basis of the study is made up of the territory competitiveness theory, the theory of human capital, and the theory of development. When assessing the relationship between the competitiveness of the territory and human capital,</w:t>
      </w:r>
    </w:p>
    <w:p w14:paraId="7BD6A09A" w14:textId="77777777" w:rsidR="001D0C1B" w:rsidRPr="001D0C1B" w:rsidRDefault="001D0C1B" w:rsidP="001D0C1B">
      <w:pPr>
        <w:widowControl w:val="0"/>
        <w:spacing w:after="0" w:line="240" w:lineRule="auto"/>
        <w:ind w:firstLine="709"/>
        <w:jc w:val="both"/>
        <w:rPr>
          <w:rFonts w:ascii="Times New Roman" w:hAnsi="Times New Roman" w:cs="Times New Roman"/>
          <w:sz w:val="24"/>
          <w:szCs w:val="24"/>
          <w:lang w:val="en-US"/>
        </w:rPr>
      </w:pPr>
      <w:r w:rsidRPr="001D0C1B">
        <w:rPr>
          <w:rFonts w:ascii="Times New Roman" w:hAnsi="Times New Roman" w:cs="Times New Roman"/>
          <w:sz w:val="24"/>
          <w:szCs w:val="24"/>
          <w:lang w:val="en-US"/>
        </w:rPr>
        <w:t>they used the content analysis of websites of state and local authorities, and statistics bodies.</w:t>
      </w:r>
    </w:p>
    <w:p w14:paraId="73DC253C" w14:textId="77777777" w:rsidR="001D0C1B" w:rsidRPr="001D0C1B" w:rsidRDefault="001D0C1B" w:rsidP="001D0C1B">
      <w:pPr>
        <w:widowControl w:val="0"/>
        <w:spacing w:after="0" w:line="240" w:lineRule="auto"/>
        <w:ind w:firstLine="709"/>
        <w:jc w:val="both"/>
        <w:rPr>
          <w:rFonts w:ascii="Times New Roman" w:hAnsi="Times New Roman" w:cs="Times New Roman"/>
          <w:sz w:val="24"/>
          <w:szCs w:val="24"/>
          <w:lang w:val="en-US"/>
        </w:rPr>
      </w:pPr>
    </w:p>
    <w:p w14:paraId="5F8D6136" w14:textId="77777777" w:rsidR="001D0C1B" w:rsidRPr="001D0C1B" w:rsidRDefault="001D0C1B" w:rsidP="001D0C1B">
      <w:pPr>
        <w:widowControl w:val="0"/>
        <w:spacing w:after="0" w:line="240" w:lineRule="auto"/>
        <w:ind w:firstLine="709"/>
        <w:jc w:val="both"/>
        <w:rPr>
          <w:rFonts w:ascii="Times New Roman" w:hAnsi="Times New Roman" w:cs="Times New Roman"/>
          <w:b/>
          <w:bCs/>
          <w:sz w:val="24"/>
          <w:szCs w:val="24"/>
          <w:lang w:val="en-US"/>
        </w:rPr>
      </w:pPr>
      <w:r w:rsidRPr="001D0C1B">
        <w:rPr>
          <w:rFonts w:ascii="Times New Roman" w:hAnsi="Times New Roman" w:cs="Times New Roman"/>
          <w:b/>
          <w:bCs/>
          <w:sz w:val="24"/>
          <w:szCs w:val="24"/>
          <w:lang w:val="en-US"/>
        </w:rPr>
        <w:t>Results</w:t>
      </w:r>
    </w:p>
    <w:p w14:paraId="4510D238" w14:textId="2CF6A52F" w:rsidR="00431849" w:rsidRPr="001D0C1B" w:rsidRDefault="001D0C1B" w:rsidP="001D0C1B">
      <w:pPr>
        <w:widowControl w:val="0"/>
        <w:spacing w:after="0" w:line="240" w:lineRule="auto"/>
        <w:ind w:firstLine="709"/>
        <w:jc w:val="both"/>
        <w:rPr>
          <w:rFonts w:ascii="Times New Roman" w:hAnsi="Times New Roman" w:cs="Times New Roman"/>
          <w:sz w:val="24"/>
          <w:szCs w:val="24"/>
          <w:lang w:val="en-US"/>
        </w:rPr>
      </w:pPr>
      <w:r w:rsidRPr="001D0C1B">
        <w:rPr>
          <w:rFonts w:ascii="Times New Roman" w:hAnsi="Times New Roman" w:cs="Times New Roman"/>
          <w:sz w:val="24"/>
          <w:szCs w:val="24"/>
          <w:lang w:val="en-US"/>
        </w:rPr>
        <w:t>Having considered the methods for human capital and the territory competitiveness evaluation, we can conclude that certain groups of indicators are closely interconnected. Moreover, it can be hypothesized that territories are not developing, among other things, due to the fact that there is no necessary "portfolio" of human capital qualitative and quantitative characteristics</w:t>
      </w:r>
      <w:r w:rsidR="005442BF" w:rsidRPr="001D0C1B">
        <w:rPr>
          <w:rFonts w:ascii="Times New Roman" w:hAnsi="Times New Roman" w:cs="Times New Roman"/>
          <w:sz w:val="24"/>
          <w:szCs w:val="24"/>
          <w:lang w:val="en-US"/>
        </w:rPr>
        <w:t xml:space="preserve">. </w:t>
      </w:r>
    </w:p>
    <w:p w14:paraId="315D89AF" w14:textId="43B7F344" w:rsidR="00CD4625" w:rsidRPr="009935A6" w:rsidRDefault="009935A6" w:rsidP="00CD4625">
      <w:pPr>
        <w:widowControl w:val="0"/>
        <w:spacing w:after="0" w:line="240" w:lineRule="auto"/>
        <w:ind w:firstLine="709"/>
        <w:jc w:val="both"/>
        <w:rPr>
          <w:rFonts w:ascii="Times New Roman" w:hAnsi="Times New Roman"/>
          <w:sz w:val="24"/>
          <w:szCs w:val="24"/>
          <w:lang w:val="en-US"/>
        </w:rPr>
      </w:pPr>
      <w:r w:rsidRPr="009935A6">
        <w:rPr>
          <w:rFonts w:ascii="Times New Roman" w:hAnsi="Times New Roman" w:cs="Times New Roman"/>
          <w:sz w:val="24"/>
          <w:szCs w:val="24"/>
          <w:lang w:val="en-US"/>
        </w:rPr>
        <w:t xml:space="preserve">In order to confirm or deny the indicated methodology, they performed the correlation (dependence) analysis between the indicators characterizing the level of human capital development and the territory competitiveness. Considering that each territory is unique, has its own specific features of development, the analysis will be carried out on the basis of statistical data from the Far </w:t>
      </w:r>
      <w:r w:rsidRPr="009935A6">
        <w:rPr>
          <w:rFonts w:ascii="Times New Roman" w:hAnsi="Times New Roman" w:cs="Times New Roman"/>
          <w:sz w:val="24"/>
          <w:szCs w:val="24"/>
          <w:lang w:val="en-US"/>
        </w:rPr>
        <w:lastRenderedPageBreak/>
        <w:t>East of Russia, as one of the most extensive in terms of the area in the country [</w:t>
      </w:r>
      <w:proofErr w:type="spellStart"/>
      <w:r w:rsidRPr="009935A6">
        <w:rPr>
          <w:rFonts w:ascii="Times New Roman" w:hAnsi="Times New Roman" w:cs="Times New Roman"/>
          <w:sz w:val="24"/>
          <w:szCs w:val="24"/>
          <w:lang w:val="en-US"/>
        </w:rPr>
        <w:t>Volynchuk</w:t>
      </w:r>
      <w:proofErr w:type="spellEnd"/>
      <w:r w:rsidRPr="009935A6">
        <w:rPr>
          <w:rFonts w:ascii="Times New Roman" w:hAnsi="Times New Roman" w:cs="Times New Roman"/>
          <w:sz w:val="24"/>
          <w:szCs w:val="24"/>
          <w:lang w:val="en-US"/>
        </w:rPr>
        <w:t xml:space="preserve">, </w:t>
      </w:r>
      <w:proofErr w:type="spellStart"/>
      <w:r w:rsidRPr="009935A6">
        <w:rPr>
          <w:rFonts w:ascii="Times New Roman" w:hAnsi="Times New Roman" w:cs="Times New Roman"/>
          <w:sz w:val="24"/>
          <w:szCs w:val="24"/>
          <w:lang w:val="en-US"/>
        </w:rPr>
        <w:t>Pestsov</w:t>
      </w:r>
      <w:proofErr w:type="spellEnd"/>
      <w:r w:rsidRPr="009935A6">
        <w:rPr>
          <w:rFonts w:ascii="Times New Roman" w:hAnsi="Times New Roman" w:cs="Times New Roman"/>
          <w:sz w:val="24"/>
          <w:szCs w:val="24"/>
          <w:lang w:val="en-US"/>
        </w:rPr>
        <w:t xml:space="preserve">, Kozlov, 2018; </w:t>
      </w:r>
      <w:proofErr w:type="spellStart"/>
      <w:r w:rsidRPr="009935A6">
        <w:rPr>
          <w:rFonts w:ascii="Times New Roman" w:hAnsi="Times New Roman" w:cs="Times New Roman"/>
          <w:sz w:val="24"/>
          <w:szCs w:val="24"/>
          <w:lang w:val="en-US"/>
        </w:rPr>
        <w:t>Koren</w:t>
      </w:r>
      <w:proofErr w:type="spellEnd"/>
      <w:r w:rsidRPr="009935A6">
        <w:rPr>
          <w:rFonts w:ascii="Times New Roman" w:hAnsi="Times New Roman" w:cs="Times New Roman"/>
          <w:sz w:val="24"/>
          <w:szCs w:val="24"/>
          <w:lang w:val="en-US"/>
        </w:rPr>
        <w:t xml:space="preserve">, </w:t>
      </w:r>
      <w:proofErr w:type="spellStart"/>
      <w:r w:rsidRPr="009935A6">
        <w:rPr>
          <w:rFonts w:ascii="Times New Roman" w:hAnsi="Times New Roman" w:cs="Times New Roman"/>
          <w:sz w:val="24"/>
          <w:szCs w:val="24"/>
          <w:lang w:val="en-US"/>
        </w:rPr>
        <w:t>Bondarenko</w:t>
      </w:r>
      <w:proofErr w:type="spellEnd"/>
      <w:r w:rsidRPr="009935A6">
        <w:rPr>
          <w:rFonts w:ascii="Times New Roman" w:hAnsi="Times New Roman" w:cs="Times New Roman"/>
          <w:sz w:val="24"/>
          <w:szCs w:val="24"/>
          <w:lang w:val="en-US"/>
        </w:rPr>
        <w:t>, 2020]. We will choose the research period equal to 10 years (from 2009 to 2019). The data for 2020 are currently in the processing stage for the most part according to the statistical authorities, so their use is not possible for analysis. As for the choice of a set of evaluation indicators, we can conclude that, from the point of view of the analyzed authors, there is no single interpretation of the assessment, therefore, it is possible to select indicators for analysis that represent part of the indicated assessment methods (the full set of indicators will be redundant, because even on the basis of the correlation dependence of human capital individual indicators and the territory competitiveness, we can already talk about the confirmation of the previously indicated hypothesis</w:t>
      </w:r>
      <w:r w:rsidR="00E36053" w:rsidRPr="009935A6">
        <w:rPr>
          <w:rFonts w:ascii="Times New Roman" w:hAnsi="Times New Roman"/>
          <w:sz w:val="24"/>
          <w:szCs w:val="24"/>
          <w:lang w:val="en-US"/>
        </w:rPr>
        <w:t xml:space="preserve">. </w:t>
      </w:r>
    </w:p>
    <w:p w14:paraId="6C77C228" w14:textId="77777777" w:rsidR="00CD4625" w:rsidRPr="009935A6" w:rsidRDefault="00CD4625" w:rsidP="00CD4625">
      <w:pPr>
        <w:widowControl w:val="0"/>
        <w:spacing w:after="0" w:line="240" w:lineRule="auto"/>
        <w:ind w:firstLine="709"/>
        <w:jc w:val="both"/>
        <w:rPr>
          <w:rFonts w:ascii="Times New Roman" w:eastAsia="Calibri" w:hAnsi="Times New Roman" w:cs="Times New Roman"/>
          <w:sz w:val="24"/>
          <w:szCs w:val="24"/>
          <w:lang w:val="en-US"/>
        </w:rPr>
      </w:pPr>
    </w:p>
    <w:p w14:paraId="49607297" w14:textId="2BE89598" w:rsidR="00CD4625" w:rsidRPr="00612D6D" w:rsidRDefault="00612D6D" w:rsidP="00CD4625">
      <w:pPr>
        <w:widowControl w:val="0"/>
        <w:spacing w:after="0" w:line="240" w:lineRule="auto"/>
        <w:jc w:val="both"/>
        <w:rPr>
          <w:rFonts w:ascii="Times New Roman" w:hAnsi="Times New Roman" w:cs="Times New Roman"/>
          <w:sz w:val="24"/>
          <w:szCs w:val="24"/>
          <w:lang w:val="en-US"/>
        </w:rPr>
      </w:pPr>
      <w:r w:rsidRPr="00612D6D">
        <w:rPr>
          <w:rFonts w:ascii="Times New Roman" w:eastAsia="Calibri" w:hAnsi="Times New Roman" w:cs="Times New Roman"/>
          <w:sz w:val="24"/>
          <w:szCs w:val="24"/>
          <w:lang w:val="en-US"/>
        </w:rPr>
        <w:t>Table 1 - Data for determining the correlation between the indicators characterizing the level of human capital development and the territory competitiveness (based on statistical data from the Russian Far East)</w:t>
      </w:r>
    </w:p>
    <w:tbl>
      <w:tblPr>
        <w:tblW w:w="5000" w:type="pct"/>
        <w:tblLayout w:type="fixed"/>
        <w:tblLook w:val="04A0" w:firstRow="1" w:lastRow="0" w:firstColumn="1" w:lastColumn="0" w:noHBand="0" w:noVBand="1"/>
      </w:tblPr>
      <w:tblGrid>
        <w:gridCol w:w="663"/>
        <w:gridCol w:w="972"/>
        <w:gridCol w:w="832"/>
        <w:gridCol w:w="834"/>
        <w:gridCol w:w="830"/>
        <w:gridCol w:w="701"/>
        <w:gridCol w:w="687"/>
        <w:gridCol w:w="687"/>
        <w:gridCol w:w="687"/>
        <w:gridCol w:w="687"/>
        <w:gridCol w:w="687"/>
        <w:gridCol w:w="687"/>
        <w:gridCol w:w="674"/>
      </w:tblGrid>
      <w:tr w:rsidR="00CD4625" w:rsidRPr="00CD4625" w14:paraId="680CCB5B" w14:textId="77777777" w:rsidTr="00914E32">
        <w:trPr>
          <w:trHeight w:val="20"/>
        </w:trPr>
        <w:tc>
          <w:tcPr>
            <w:tcW w:w="848"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418E0A7" w14:textId="6DEF651B" w:rsidR="00CD4625" w:rsidRPr="00332407" w:rsidRDefault="00332407" w:rsidP="00DD0041">
            <w:pPr>
              <w:spacing w:after="0" w:line="240" w:lineRule="auto"/>
              <w:jc w:val="center"/>
              <w:rPr>
                <w:rFonts w:ascii="Times New Roman" w:eastAsia="Calibri" w:hAnsi="Times New Roman" w:cs="Times New Roman"/>
                <w:color w:val="000000"/>
                <w:sz w:val="16"/>
                <w:szCs w:val="16"/>
                <w:lang w:val="en-US" w:eastAsia="ru-RU"/>
              </w:rPr>
            </w:pPr>
            <w:r>
              <w:rPr>
                <w:rFonts w:ascii="Times New Roman" w:eastAsia="Calibri" w:hAnsi="Times New Roman" w:cs="Times New Roman"/>
                <w:color w:val="000000"/>
                <w:sz w:val="16"/>
                <w:szCs w:val="16"/>
                <w:lang w:val="en-US" w:eastAsia="ru-RU"/>
              </w:rPr>
              <w:t>Indicator</w:t>
            </w:r>
          </w:p>
        </w:tc>
        <w:tc>
          <w:tcPr>
            <w:tcW w:w="432" w:type="pct"/>
            <w:tcBorders>
              <w:top w:val="single" w:sz="4" w:space="0" w:color="auto"/>
              <w:left w:val="nil"/>
              <w:bottom w:val="single" w:sz="4" w:space="0" w:color="auto"/>
              <w:right w:val="single" w:sz="4" w:space="0" w:color="auto"/>
            </w:tcBorders>
            <w:shd w:val="clear" w:color="auto" w:fill="auto"/>
            <w:noWrap/>
            <w:vAlign w:val="center"/>
            <w:hideMark/>
          </w:tcPr>
          <w:p w14:paraId="196F1952"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2009</w:t>
            </w:r>
          </w:p>
        </w:tc>
        <w:tc>
          <w:tcPr>
            <w:tcW w:w="433" w:type="pct"/>
            <w:tcBorders>
              <w:top w:val="single" w:sz="4" w:space="0" w:color="auto"/>
              <w:left w:val="nil"/>
              <w:bottom w:val="single" w:sz="4" w:space="0" w:color="auto"/>
              <w:right w:val="single" w:sz="4" w:space="0" w:color="auto"/>
            </w:tcBorders>
            <w:shd w:val="clear" w:color="auto" w:fill="auto"/>
            <w:noWrap/>
            <w:vAlign w:val="center"/>
            <w:hideMark/>
          </w:tcPr>
          <w:p w14:paraId="562B3089"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2010</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14:paraId="51F1D820"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2011</w:t>
            </w:r>
          </w:p>
        </w:tc>
        <w:tc>
          <w:tcPr>
            <w:tcW w:w="364" w:type="pct"/>
            <w:tcBorders>
              <w:top w:val="single" w:sz="4" w:space="0" w:color="auto"/>
              <w:left w:val="nil"/>
              <w:bottom w:val="single" w:sz="4" w:space="0" w:color="auto"/>
              <w:right w:val="single" w:sz="4" w:space="0" w:color="auto"/>
            </w:tcBorders>
            <w:shd w:val="clear" w:color="auto" w:fill="auto"/>
            <w:noWrap/>
            <w:vAlign w:val="center"/>
            <w:hideMark/>
          </w:tcPr>
          <w:p w14:paraId="45FD3418"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2012</w:t>
            </w:r>
          </w:p>
        </w:tc>
        <w:tc>
          <w:tcPr>
            <w:tcW w:w="357" w:type="pct"/>
            <w:tcBorders>
              <w:top w:val="single" w:sz="4" w:space="0" w:color="auto"/>
              <w:left w:val="nil"/>
              <w:bottom w:val="single" w:sz="4" w:space="0" w:color="auto"/>
              <w:right w:val="single" w:sz="4" w:space="0" w:color="auto"/>
            </w:tcBorders>
            <w:shd w:val="clear" w:color="auto" w:fill="auto"/>
            <w:noWrap/>
            <w:vAlign w:val="center"/>
            <w:hideMark/>
          </w:tcPr>
          <w:p w14:paraId="1DC448D9"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2013</w:t>
            </w:r>
          </w:p>
        </w:tc>
        <w:tc>
          <w:tcPr>
            <w:tcW w:w="357" w:type="pct"/>
            <w:tcBorders>
              <w:top w:val="single" w:sz="4" w:space="0" w:color="auto"/>
              <w:left w:val="nil"/>
              <w:bottom w:val="single" w:sz="4" w:space="0" w:color="auto"/>
              <w:right w:val="single" w:sz="4" w:space="0" w:color="auto"/>
            </w:tcBorders>
            <w:shd w:val="clear" w:color="auto" w:fill="auto"/>
            <w:noWrap/>
            <w:vAlign w:val="center"/>
            <w:hideMark/>
          </w:tcPr>
          <w:p w14:paraId="0E2B754B"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2014</w:t>
            </w:r>
          </w:p>
        </w:tc>
        <w:tc>
          <w:tcPr>
            <w:tcW w:w="357" w:type="pct"/>
            <w:tcBorders>
              <w:top w:val="single" w:sz="4" w:space="0" w:color="auto"/>
              <w:left w:val="nil"/>
              <w:bottom w:val="single" w:sz="4" w:space="0" w:color="auto"/>
              <w:right w:val="single" w:sz="4" w:space="0" w:color="auto"/>
            </w:tcBorders>
            <w:shd w:val="clear" w:color="auto" w:fill="auto"/>
            <w:noWrap/>
            <w:vAlign w:val="center"/>
            <w:hideMark/>
          </w:tcPr>
          <w:p w14:paraId="343F6429"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2015</w:t>
            </w:r>
          </w:p>
        </w:tc>
        <w:tc>
          <w:tcPr>
            <w:tcW w:w="357" w:type="pct"/>
            <w:tcBorders>
              <w:top w:val="single" w:sz="4" w:space="0" w:color="auto"/>
              <w:left w:val="nil"/>
              <w:bottom w:val="single" w:sz="4" w:space="0" w:color="auto"/>
              <w:right w:val="single" w:sz="4" w:space="0" w:color="auto"/>
            </w:tcBorders>
            <w:shd w:val="clear" w:color="auto" w:fill="auto"/>
            <w:noWrap/>
            <w:vAlign w:val="center"/>
            <w:hideMark/>
          </w:tcPr>
          <w:p w14:paraId="7EF24F49"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2016</w:t>
            </w:r>
          </w:p>
        </w:tc>
        <w:tc>
          <w:tcPr>
            <w:tcW w:w="357" w:type="pct"/>
            <w:tcBorders>
              <w:top w:val="single" w:sz="4" w:space="0" w:color="auto"/>
              <w:left w:val="nil"/>
              <w:bottom w:val="single" w:sz="4" w:space="0" w:color="auto"/>
              <w:right w:val="single" w:sz="4" w:space="0" w:color="auto"/>
            </w:tcBorders>
            <w:shd w:val="clear" w:color="auto" w:fill="auto"/>
            <w:noWrap/>
            <w:vAlign w:val="center"/>
            <w:hideMark/>
          </w:tcPr>
          <w:p w14:paraId="30D88DEB"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2017</w:t>
            </w:r>
          </w:p>
        </w:tc>
        <w:tc>
          <w:tcPr>
            <w:tcW w:w="357" w:type="pct"/>
            <w:tcBorders>
              <w:top w:val="single" w:sz="4" w:space="0" w:color="auto"/>
              <w:left w:val="nil"/>
              <w:bottom w:val="single" w:sz="4" w:space="0" w:color="auto"/>
              <w:right w:val="single" w:sz="4" w:space="0" w:color="auto"/>
            </w:tcBorders>
            <w:shd w:val="clear" w:color="auto" w:fill="auto"/>
            <w:noWrap/>
            <w:vAlign w:val="center"/>
            <w:hideMark/>
          </w:tcPr>
          <w:p w14:paraId="7EC94782"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2018</w:t>
            </w:r>
          </w:p>
        </w:tc>
        <w:tc>
          <w:tcPr>
            <w:tcW w:w="352" w:type="pct"/>
            <w:tcBorders>
              <w:top w:val="single" w:sz="4" w:space="0" w:color="auto"/>
              <w:left w:val="nil"/>
              <w:bottom w:val="single" w:sz="4" w:space="0" w:color="auto"/>
              <w:right w:val="single" w:sz="4" w:space="0" w:color="auto"/>
            </w:tcBorders>
            <w:shd w:val="clear" w:color="auto" w:fill="auto"/>
            <w:noWrap/>
            <w:vAlign w:val="center"/>
            <w:hideMark/>
          </w:tcPr>
          <w:p w14:paraId="0AC94FF3"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2019</w:t>
            </w:r>
          </w:p>
        </w:tc>
      </w:tr>
      <w:tr w:rsidR="00CD4625" w:rsidRPr="00CD4625" w14:paraId="33F2D741" w14:textId="77777777" w:rsidTr="00914E32">
        <w:trPr>
          <w:trHeight w:val="20"/>
        </w:trPr>
        <w:tc>
          <w:tcPr>
            <w:tcW w:w="84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E25719" w14:textId="0D1EA9C1" w:rsidR="00CD4625" w:rsidRPr="005E43CE" w:rsidRDefault="00332407" w:rsidP="00DD0041">
            <w:pPr>
              <w:spacing w:after="0" w:line="240" w:lineRule="auto"/>
              <w:rPr>
                <w:rFonts w:ascii="Times New Roman" w:eastAsia="Calibri" w:hAnsi="Times New Roman" w:cs="Times New Roman"/>
                <w:color w:val="000000"/>
                <w:sz w:val="16"/>
                <w:szCs w:val="16"/>
                <w:lang w:eastAsia="ru-RU"/>
              </w:rPr>
            </w:pPr>
            <w:r>
              <w:rPr>
                <w:rFonts w:ascii="Times New Roman" w:eastAsia="Calibri" w:hAnsi="Times New Roman" w:cs="Times New Roman"/>
                <w:color w:val="000000"/>
                <w:sz w:val="16"/>
                <w:szCs w:val="16"/>
                <w:lang w:val="en-US" w:eastAsia="ru-RU"/>
              </w:rPr>
              <w:t>Population</w:t>
            </w:r>
            <w:r w:rsidR="00CD4625" w:rsidRPr="005E43CE">
              <w:rPr>
                <w:rFonts w:ascii="Times New Roman" w:eastAsia="Calibri" w:hAnsi="Times New Roman" w:cs="Times New Roman"/>
                <w:color w:val="000000"/>
                <w:sz w:val="16"/>
                <w:szCs w:val="16"/>
                <w:lang w:eastAsia="ru-RU"/>
              </w:rPr>
              <w:t xml:space="preserve">, </w:t>
            </w:r>
            <w:r>
              <w:rPr>
                <w:rFonts w:ascii="Times New Roman" w:eastAsia="Calibri" w:hAnsi="Times New Roman" w:cs="Times New Roman"/>
                <w:color w:val="000000"/>
                <w:sz w:val="16"/>
                <w:szCs w:val="16"/>
                <w:lang w:val="en-US" w:eastAsia="ru-RU"/>
              </w:rPr>
              <w:t>men</w:t>
            </w:r>
          </w:p>
        </w:tc>
        <w:tc>
          <w:tcPr>
            <w:tcW w:w="432" w:type="pct"/>
            <w:tcBorders>
              <w:top w:val="nil"/>
              <w:left w:val="nil"/>
              <w:bottom w:val="single" w:sz="4" w:space="0" w:color="auto"/>
              <w:right w:val="single" w:sz="4" w:space="0" w:color="auto"/>
            </w:tcBorders>
            <w:shd w:val="clear" w:color="auto" w:fill="auto"/>
            <w:vAlign w:val="center"/>
            <w:hideMark/>
          </w:tcPr>
          <w:p w14:paraId="7F342947" w14:textId="77777777" w:rsidR="00CD4625" w:rsidRPr="005E43CE" w:rsidRDefault="00CD4625" w:rsidP="00DD0041">
            <w:pPr>
              <w:spacing w:after="0" w:line="240" w:lineRule="auto"/>
              <w:jc w:val="center"/>
              <w:rPr>
                <w:rFonts w:ascii="Times New Roman" w:eastAsia="Calibri" w:hAnsi="Times New Roman" w:cs="Times New Roman"/>
                <w:color w:val="222222"/>
                <w:sz w:val="16"/>
                <w:szCs w:val="16"/>
                <w:lang w:eastAsia="ru-RU"/>
              </w:rPr>
            </w:pPr>
            <w:r w:rsidRPr="005E43CE">
              <w:rPr>
                <w:rFonts w:ascii="Times New Roman" w:eastAsia="Calibri" w:hAnsi="Times New Roman" w:cs="Times New Roman"/>
                <w:color w:val="222222"/>
                <w:sz w:val="16"/>
                <w:szCs w:val="16"/>
                <w:lang w:eastAsia="ru-RU"/>
              </w:rPr>
              <w:t>6460094</w:t>
            </w:r>
          </w:p>
        </w:tc>
        <w:tc>
          <w:tcPr>
            <w:tcW w:w="433" w:type="pct"/>
            <w:tcBorders>
              <w:top w:val="nil"/>
              <w:left w:val="nil"/>
              <w:bottom w:val="single" w:sz="4" w:space="0" w:color="auto"/>
              <w:right w:val="single" w:sz="4" w:space="0" w:color="auto"/>
            </w:tcBorders>
            <w:shd w:val="clear" w:color="auto" w:fill="auto"/>
            <w:vAlign w:val="center"/>
            <w:hideMark/>
          </w:tcPr>
          <w:p w14:paraId="0F2088C6" w14:textId="77777777" w:rsidR="00CD4625" w:rsidRPr="005E43CE" w:rsidRDefault="00CD4625" w:rsidP="00DD0041">
            <w:pPr>
              <w:spacing w:after="0" w:line="240" w:lineRule="auto"/>
              <w:jc w:val="center"/>
              <w:rPr>
                <w:rFonts w:ascii="Times New Roman" w:eastAsia="Calibri" w:hAnsi="Times New Roman" w:cs="Times New Roman"/>
                <w:color w:val="222222"/>
                <w:sz w:val="16"/>
                <w:szCs w:val="16"/>
                <w:lang w:eastAsia="ru-RU"/>
              </w:rPr>
            </w:pPr>
            <w:r w:rsidRPr="005E43CE">
              <w:rPr>
                <w:rFonts w:ascii="Times New Roman" w:eastAsia="Calibri" w:hAnsi="Times New Roman" w:cs="Times New Roman"/>
                <w:color w:val="222222"/>
                <w:sz w:val="16"/>
                <w:szCs w:val="16"/>
                <w:lang w:eastAsia="ru-RU"/>
              </w:rPr>
              <w:t>6440129</w:t>
            </w:r>
          </w:p>
        </w:tc>
        <w:tc>
          <w:tcPr>
            <w:tcW w:w="431" w:type="pct"/>
            <w:tcBorders>
              <w:top w:val="nil"/>
              <w:left w:val="nil"/>
              <w:bottom w:val="single" w:sz="4" w:space="0" w:color="auto"/>
              <w:right w:val="single" w:sz="4" w:space="0" w:color="auto"/>
            </w:tcBorders>
            <w:shd w:val="clear" w:color="auto" w:fill="auto"/>
            <w:vAlign w:val="center"/>
            <w:hideMark/>
          </w:tcPr>
          <w:p w14:paraId="6E2BD0B2" w14:textId="77777777" w:rsidR="00CD4625" w:rsidRPr="005E43CE" w:rsidRDefault="00CD4625" w:rsidP="00DD0041">
            <w:pPr>
              <w:spacing w:after="0" w:line="240" w:lineRule="auto"/>
              <w:jc w:val="center"/>
              <w:rPr>
                <w:rFonts w:ascii="Times New Roman" w:eastAsia="Calibri" w:hAnsi="Times New Roman" w:cs="Times New Roman"/>
                <w:color w:val="222222"/>
                <w:sz w:val="16"/>
                <w:szCs w:val="16"/>
                <w:lang w:eastAsia="ru-RU"/>
              </w:rPr>
            </w:pPr>
            <w:r w:rsidRPr="005E43CE">
              <w:rPr>
                <w:rFonts w:ascii="Times New Roman" w:eastAsia="Calibri" w:hAnsi="Times New Roman" w:cs="Times New Roman"/>
                <w:color w:val="222222"/>
                <w:sz w:val="16"/>
                <w:szCs w:val="16"/>
                <w:lang w:eastAsia="ru-RU"/>
              </w:rPr>
              <w:t>6 275 388</w:t>
            </w:r>
          </w:p>
        </w:tc>
        <w:tc>
          <w:tcPr>
            <w:tcW w:w="364" w:type="pct"/>
            <w:tcBorders>
              <w:top w:val="nil"/>
              <w:left w:val="nil"/>
              <w:bottom w:val="single" w:sz="4" w:space="0" w:color="auto"/>
              <w:right w:val="single" w:sz="4" w:space="0" w:color="auto"/>
            </w:tcBorders>
            <w:shd w:val="clear" w:color="auto" w:fill="auto"/>
            <w:vAlign w:val="center"/>
            <w:hideMark/>
          </w:tcPr>
          <w:p w14:paraId="21F2226B" w14:textId="77777777" w:rsidR="00CD4625" w:rsidRPr="005E43CE" w:rsidRDefault="00CD4625" w:rsidP="00DD0041">
            <w:pPr>
              <w:spacing w:after="0" w:line="240" w:lineRule="auto"/>
              <w:jc w:val="center"/>
              <w:rPr>
                <w:rFonts w:ascii="Times New Roman" w:eastAsia="Calibri" w:hAnsi="Times New Roman" w:cs="Times New Roman"/>
                <w:color w:val="222222"/>
                <w:sz w:val="16"/>
                <w:szCs w:val="16"/>
                <w:lang w:eastAsia="ru-RU"/>
              </w:rPr>
            </w:pPr>
            <w:r w:rsidRPr="005E43CE">
              <w:rPr>
                <w:rFonts w:ascii="Times New Roman" w:eastAsia="Calibri" w:hAnsi="Times New Roman" w:cs="Times New Roman"/>
                <w:color w:val="222222"/>
                <w:sz w:val="16"/>
                <w:szCs w:val="16"/>
                <w:lang w:eastAsia="ru-RU"/>
              </w:rPr>
              <w:t>6266833</w:t>
            </w:r>
          </w:p>
        </w:tc>
        <w:tc>
          <w:tcPr>
            <w:tcW w:w="357" w:type="pct"/>
            <w:tcBorders>
              <w:top w:val="nil"/>
              <w:left w:val="nil"/>
              <w:bottom w:val="single" w:sz="4" w:space="0" w:color="auto"/>
              <w:right w:val="single" w:sz="4" w:space="0" w:color="auto"/>
            </w:tcBorders>
            <w:shd w:val="clear" w:color="auto" w:fill="auto"/>
            <w:vAlign w:val="center"/>
            <w:hideMark/>
          </w:tcPr>
          <w:p w14:paraId="611F301F" w14:textId="77777777" w:rsidR="00CD4625" w:rsidRPr="005E43CE" w:rsidRDefault="00CD4625" w:rsidP="00DD0041">
            <w:pPr>
              <w:spacing w:after="0" w:line="240" w:lineRule="auto"/>
              <w:jc w:val="center"/>
              <w:rPr>
                <w:rFonts w:ascii="Times New Roman" w:eastAsia="Calibri" w:hAnsi="Times New Roman" w:cs="Times New Roman"/>
                <w:color w:val="222222"/>
                <w:sz w:val="16"/>
                <w:szCs w:val="16"/>
                <w:lang w:eastAsia="ru-RU"/>
              </w:rPr>
            </w:pPr>
            <w:r w:rsidRPr="005E43CE">
              <w:rPr>
                <w:rFonts w:ascii="Times New Roman" w:eastAsia="Calibri" w:hAnsi="Times New Roman" w:cs="Times New Roman"/>
                <w:color w:val="222222"/>
                <w:sz w:val="16"/>
                <w:szCs w:val="16"/>
                <w:lang w:eastAsia="ru-RU"/>
              </w:rPr>
              <w:t>6252496</w:t>
            </w:r>
          </w:p>
        </w:tc>
        <w:tc>
          <w:tcPr>
            <w:tcW w:w="357" w:type="pct"/>
            <w:tcBorders>
              <w:top w:val="nil"/>
              <w:left w:val="nil"/>
              <w:bottom w:val="single" w:sz="4" w:space="0" w:color="auto"/>
              <w:right w:val="single" w:sz="4" w:space="0" w:color="auto"/>
            </w:tcBorders>
            <w:shd w:val="clear" w:color="auto" w:fill="auto"/>
            <w:vAlign w:val="center"/>
            <w:hideMark/>
          </w:tcPr>
          <w:p w14:paraId="0485F985" w14:textId="77777777" w:rsidR="00CD4625" w:rsidRPr="005E43CE" w:rsidRDefault="00CD4625" w:rsidP="00DD0041">
            <w:pPr>
              <w:spacing w:after="0" w:line="240" w:lineRule="auto"/>
              <w:jc w:val="center"/>
              <w:rPr>
                <w:rFonts w:ascii="Times New Roman" w:eastAsia="Calibri" w:hAnsi="Times New Roman" w:cs="Times New Roman"/>
                <w:color w:val="222222"/>
                <w:sz w:val="16"/>
                <w:szCs w:val="16"/>
                <w:lang w:eastAsia="ru-RU"/>
              </w:rPr>
            </w:pPr>
            <w:r w:rsidRPr="005E43CE">
              <w:rPr>
                <w:rFonts w:ascii="Times New Roman" w:eastAsia="Calibri" w:hAnsi="Times New Roman" w:cs="Times New Roman"/>
                <w:color w:val="222222"/>
                <w:sz w:val="16"/>
                <w:szCs w:val="16"/>
                <w:lang w:eastAsia="ru-RU"/>
              </w:rPr>
              <w:t>6226640</w:t>
            </w:r>
          </w:p>
        </w:tc>
        <w:tc>
          <w:tcPr>
            <w:tcW w:w="357" w:type="pct"/>
            <w:tcBorders>
              <w:top w:val="nil"/>
              <w:left w:val="nil"/>
              <w:bottom w:val="single" w:sz="4" w:space="0" w:color="auto"/>
              <w:right w:val="single" w:sz="4" w:space="0" w:color="auto"/>
            </w:tcBorders>
            <w:shd w:val="clear" w:color="auto" w:fill="auto"/>
            <w:vAlign w:val="center"/>
            <w:hideMark/>
          </w:tcPr>
          <w:p w14:paraId="22C21825" w14:textId="77777777" w:rsidR="00CD4625" w:rsidRPr="005E43CE" w:rsidRDefault="00CD4625" w:rsidP="00DD0041">
            <w:pPr>
              <w:spacing w:after="0" w:line="240" w:lineRule="auto"/>
              <w:jc w:val="center"/>
              <w:rPr>
                <w:rFonts w:ascii="Times New Roman" w:eastAsia="Calibri" w:hAnsi="Times New Roman" w:cs="Times New Roman"/>
                <w:color w:val="222222"/>
                <w:sz w:val="16"/>
                <w:szCs w:val="16"/>
                <w:lang w:eastAsia="ru-RU"/>
              </w:rPr>
            </w:pPr>
            <w:r w:rsidRPr="005E43CE">
              <w:rPr>
                <w:rFonts w:ascii="Times New Roman" w:eastAsia="Calibri" w:hAnsi="Times New Roman" w:cs="Times New Roman"/>
                <w:color w:val="222222"/>
                <w:sz w:val="16"/>
                <w:szCs w:val="16"/>
                <w:lang w:eastAsia="ru-RU"/>
              </w:rPr>
              <w:t>6211021</w:t>
            </w:r>
          </w:p>
        </w:tc>
        <w:tc>
          <w:tcPr>
            <w:tcW w:w="357" w:type="pct"/>
            <w:tcBorders>
              <w:top w:val="nil"/>
              <w:left w:val="nil"/>
              <w:bottom w:val="single" w:sz="4" w:space="0" w:color="auto"/>
              <w:right w:val="single" w:sz="4" w:space="0" w:color="auto"/>
            </w:tcBorders>
            <w:shd w:val="clear" w:color="auto" w:fill="auto"/>
            <w:vAlign w:val="center"/>
            <w:hideMark/>
          </w:tcPr>
          <w:p w14:paraId="0B24F918" w14:textId="77777777" w:rsidR="00CD4625" w:rsidRPr="005E43CE" w:rsidRDefault="00CD4625" w:rsidP="00DD0041">
            <w:pPr>
              <w:spacing w:after="0" w:line="240" w:lineRule="auto"/>
              <w:jc w:val="center"/>
              <w:rPr>
                <w:rFonts w:ascii="Times New Roman" w:eastAsia="Calibri" w:hAnsi="Times New Roman" w:cs="Times New Roman"/>
                <w:color w:val="222222"/>
                <w:sz w:val="16"/>
                <w:szCs w:val="16"/>
                <w:lang w:eastAsia="ru-RU"/>
              </w:rPr>
            </w:pPr>
            <w:r w:rsidRPr="005E43CE">
              <w:rPr>
                <w:rFonts w:ascii="Times New Roman" w:eastAsia="Calibri" w:hAnsi="Times New Roman" w:cs="Times New Roman"/>
                <w:color w:val="222222"/>
                <w:sz w:val="16"/>
                <w:szCs w:val="16"/>
                <w:lang w:eastAsia="ru-RU"/>
              </w:rPr>
              <w:t>6194969</w:t>
            </w:r>
          </w:p>
        </w:tc>
        <w:tc>
          <w:tcPr>
            <w:tcW w:w="357" w:type="pct"/>
            <w:tcBorders>
              <w:top w:val="nil"/>
              <w:left w:val="nil"/>
              <w:bottom w:val="single" w:sz="4" w:space="0" w:color="auto"/>
              <w:right w:val="single" w:sz="4" w:space="0" w:color="auto"/>
            </w:tcBorders>
            <w:shd w:val="clear" w:color="auto" w:fill="auto"/>
            <w:vAlign w:val="center"/>
            <w:hideMark/>
          </w:tcPr>
          <w:p w14:paraId="2474C34B" w14:textId="77777777" w:rsidR="00CD4625" w:rsidRPr="005E43CE" w:rsidRDefault="00CD4625" w:rsidP="00DD0041">
            <w:pPr>
              <w:spacing w:after="0" w:line="240" w:lineRule="auto"/>
              <w:jc w:val="center"/>
              <w:rPr>
                <w:rFonts w:ascii="Times New Roman" w:eastAsia="Calibri" w:hAnsi="Times New Roman" w:cs="Times New Roman"/>
                <w:color w:val="222222"/>
                <w:sz w:val="16"/>
                <w:szCs w:val="16"/>
                <w:lang w:eastAsia="ru-RU"/>
              </w:rPr>
            </w:pPr>
            <w:r w:rsidRPr="005E43CE">
              <w:rPr>
                <w:rFonts w:ascii="Times New Roman" w:eastAsia="Calibri" w:hAnsi="Times New Roman" w:cs="Times New Roman"/>
                <w:color w:val="222222"/>
                <w:sz w:val="16"/>
                <w:szCs w:val="16"/>
                <w:lang w:eastAsia="ru-RU"/>
              </w:rPr>
              <w:t>6182679</w:t>
            </w:r>
          </w:p>
        </w:tc>
        <w:tc>
          <w:tcPr>
            <w:tcW w:w="357" w:type="pct"/>
            <w:tcBorders>
              <w:top w:val="nil"/>
              <w:left w:val="nil"/>
              <w:bottom w:val="single" w:sz="4" w:space="0" w:color="auto"/>
              <w:right w:val="single" w:sz="4" w:space="0" w:color="auto"/>
            </w:tcBorders>
            <w:shd w:val="clear" w:color="auto" w:fill="auto"/>
            <w:vAlign w:val="center"/>
            <w:hideMark/>
          </w:tcPr>
          <w:p w14:paraId="2E74E937" w14:textId="77777777" w:rsidR="00CD4625" w:rsidRPr="005E43CE" w:rsidRDefault="00CD4625" w:rsidP="00DD0041">
            <w:pPr>
              <w:spacing w:after="0" w:line="240" w:lineRule="auto"/>
              <w:jc w:val="center"/>
              <w:rPr>
                <w:rFonts w:ascii="Times New Roman" w:eastAsia="Calibri" w:hAnsi="Times New Roman" w:cs="Times New Roman"/>
                <w:color w:val="222222"/>
                <w:sz w:val="16"/>
                <w:szCs w:val="16"/>
                <w:lang w:eastAsia="ru-RU"/>
              </w:rPr>
            </w:pPr>
            <w:r w:rsidRPr="005E43CE">
              <w:rPr>
                <w:rFonts w:ascii="Times New Roman" w:eastAsia="Calibri" w:hAnsi="Times New Roman" w:cs="Times New Roman"/>
                <w:color w:val="222222"/>
                <w:sz w:val="16"/>
                <w:szCs w:val="16"/>
                <w:lang w:eastAsia="ru-RU"/>
              </w:rPr>
              <w:t>6165284</w:t>
            </w:r>
          </w:p>
        </w:tc>
        <w:tc>
          <w:tcPr>
            <w:tcW w:w="352" w:type="pct"/>
            <w:tcBorders>
              <w:top w:val="nil"/>
              <w:left w:val="nil"/>
              <w:bottom w:val="single" w:sz="4" w:space="0" w:color="auto"/>
              <w:right w:val="single" w:sz="4" w:space="0" w:color="auto"/>
            </w:tcBorders>
            <w:shd w:val="clear" w:color="auto" w:fill="auto"/>
            <w:vAlign w:val="center"/>
            <w:hideMark/>
          </w:tcPr>
          <w:p w14:paraId="5623BC12" w14:textId="77777777" w:rsidR="00CD4625" w:rsidRPr="005E43CE" w:rsidRDefault="00CD4625" w:rsidP="00DD0041">
            <w:pPr>
              <w:spacing w:after="0" w:line="240" w:lineRule="auto"/>
              <w:jc w:val="center"/>
              <w:rPr>
                <w:rFonts w:ascii="Times New Roman" w:eastAsia="Calibri" w:hAnsi="Times New Roman" w:cs="Times New Roman"/>
                <w:color w:val="222222"/>
                <w:sz w:val="16"/>
                <w:szCs w:val="16"/>
                <w:lang w:eastAsia="ru-RU"/>
              </w:rPr>
            </w:pPr>
            <w:r w:rsidRPr="005E43CE">
              <w:rPr>
                <w:rFonts w:ascii="Times New Roman" w:eastAsia="Calibri" w:hAnsi="Times New Roman" w:cs="Times New Roman"/>
                <w:color w:val="222222"/>
                <w:sz w:val="16"/>
                <w:szCs w:val="16"/>
                <w:lang w:eastAsia="ru-RU"/>
              </w:rPr>
              <w:t>8188623</w:t>
            </w:r>
          </w:p>
        </w:tc>
      </w:tr>
      <w:tr w:rsidR="00CD4625" w:rsidRPr="00CD4625" w14:paraId="4F08EBD2" w14:textId="77777777" w:rsidTr="00914E32">
        <w:trPr>
          <w:trHeight w:val="20"/>
        </w:trPr>
        <w:tc>
          <w:tcPr>
            <w:tcW w:w="344" w:type="pct"/>
            <w:vMerge w:val="restart"/>
            <w:tcBorders>
              <w:top w:val="nil"/>
              <w:left w:val="single" w:sz="4" w:space="0" w:color="auto"/>
              <w:bottom w:val="single" w:sz="4" w:space="0" w:color="auto"/>
              <w:right w:val="single" w:sz="4" w:space="0" w:color="auto"/>
            </w:tcBorders>
            <w:shd w:val="clear" w:color="auto" w:fill="auto"/>
            <w:vAlign w:val="center"/>
            <w:hideMark/>
          </w:tcPr>
          <w:p w14:paraId="0638B4DB" w14:textId="0401EE5F" w:rsidR="00CD4625" w:rsidRPr="00332407" w:rsidRDefault="00332407" w:rsidP="00DD0041">
            <w:pPr>
              <w:spacing w:after="0" w:line="240" w:lineRule="auto"/>
              <w:rPr>
                <w:rFonts w:ascii="Times New Roman" w:eastAsia="Calibri" w:hAnsi="Times New Roman" w:cs="Times New Roman"/>
                <w:color w:val="000000"/>
                <w:sz w:val="16"/>
                <w:szCs w:val="16"/>
                <w:lang w:val="en-US" w:eastAsia="ru-RU"/>
              </w:rPr>
            </w:pPr>
            <w:r>
              <w:rPr>
                <w:rFonts w:ascii="Times New Roman" w:eastAsia="Calibri" w:hAnsi="Times New Roman" w:cs="Times New Roman"/>
                <w:color w:val="000000"/>
                <w:sz w:val="16"/>
                <w:szCs w:val="16"/>
                <w:lang w:val="en-US" w:eastAsia="ru-RU"/>
              </w:rPr>
              <w:t>Gender</w:t>
            </w:r>
          </w:p>
        </w:tc>
        <w:tc>
          <w:tcPr>
            <w:tcW w:w="504" w:type="pct"/>
            <w:tcBorders>
              <w:top w:val="nil"/>
              <w:left w:val="nil"/>
              <w:bottom w:val="single" w:sz="4" w:space="0" w:color="auto"/>
              <w:right w:val="single" w:sz="4" w:space="0" w:color="auto"/>
            </w:tcBorders>
            <w:shd w:val="clear" w:color="auto" w:fill="auto"/>
            <w:vAlign w:val="center"/>
            <w:hideMark/>
          </w:tcPr>
          <w:p w14:paraId="487ED9AD" w14:textId="2D550ACC" w:rsidR="00CD4625" w:rsidRPr="00332407" w:rsidRDefault="00332407" w:rsidP="00DD0041">
            <w:pPr>
              <w:spacing w:after="0" w:line="240" w:lineRule="auto"/>
              <w:rPr>
                <w:rFonts w:ascii="Times New Roman" w:eastAsia="Calibri" w:hAnsi="Times New Roman" w:cs="Times New Roman"/>
                <w:color w:val="000000"/>
                <w:sz w:val="16"/>
                <w:szCs w:val="16"/>
                <w:lang w:val="en-US" w:eastAsia="ru-RU"/>
              </w:rPr>
            </w:pPr>
            <w:r>
              <w:rPr>
                <w:rFonts w:ascii="Times New Roman" w:eastAsia="Calibri" w:hAnsi="Times New Roman" w:cs="Times New Roman"/>
                <w:color w:val="000000"/>
                <w:sz w:val="16"/>
                <w:szCs w:val="16"/>
                <w:lang w:val="en-US" w:eastAsia="ru-RU"/>
              </w:rPr>
              <w:t>F</w:t>
            </w:r>
          </w:p>
        </w:tc>
        <w:tc>
          <w:tcPr>
            <w:tcW w:w="432" w:type="pct"/>
            <w:tcBorders>
              <w:top w:val="nil"/>
              <w:left w:val="nil"/>
              <w:bottom w:val="single" w:sz="4" w:space="0" w:color="auto"/>
              <w:right w:val="single" w:sz="4" w:space="0" w:color="auto"/>
            </w:tcBorders>
            <w:shd w:val="clear" w:color="auto" w:fill="auto"/>
            <w:vAlign w:val="center"/>
            <w:hideMark/>
          </w:tcPr>
          <w:p w14:paraId="45718A74"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3 355 000</w:t>
            </w:r>
          </w:p>
        </w:tc>
        <w:tc>
          <w:tcPr>
            <w:tcW w:w="433" w:type="pct"/>
            <w:tcBorders>
              <w:top w:val="nil"/>
              <w:left w:val="nil"/>
              <w:bottom w:val="single" w:sz="4" w:space="0" w:color="auto"/>
              <w:right w:val="single" w:sz="4" w:space="0" w:color="auto"/>
            </w:tcBorders>
            <w:shd w:val="clear" w:color="auto" w:fill="auto"/>
            <w:vAlign w:val="center"/>
            <w:hideMark/>
          </w:tcPr>
          <w:p w14:paraId="2FD95E5B"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3 349 000</w:t>
            </w:r>
          </w:p>
        </w:tc>
        <w:tc>
          <w:tcPr>
            <w:tcW w:w="431" w:type="pct"/>
            <w:tcBorders>
              <w:top w:val="nil"/>
              <w:left w:val="nil"/>
              <w:bottom w:val="single" w:sz="4" w:space="0" w:color="auto"/>
              <w:right w:val="single" w:sz="4" w:space="0" w:color="auto"/>
            </w:tcBorders>
            <w:shd w:val="clear" w:color="auto" w:fill="auto"/>
            <w:vAlign w:val="center"/>
            <w:hideMark/>
          </w:tcPr>
          <w:p w14:paraId="41059736"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3 262 433</w:t>
            </w:r>
          </w:p>
        </w:tc>
        <w:tc>
          <w:tcPr>
            <w:tcW w:w="364" w:type="pct"/>
            <w:tcBorders>
              <w:top w:val="nil"/>
              <w:left w:val="nil"/>
              <w:bottom w:val="single" w:sz="4" w:space="0" w:color="auto"/>
              <w:right w:val="single" w:sz="4" w:space="0" w:color="auto"/>
            </w:tcBorders>
            <w:shd w:val="clear" w:color="auto" w:fill="auto"/>
            <w:vAlign w:val="center"/>
            <w:hideMark/>
          </w:tcPr>
          <w:p w14:paraId="0E86B768"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3 257 000</w:t>
            </w:r>
          </w:p>
        </w:tc>
        <w:tc>
          <w:tcPr>
            <w:tcW w:w="357" w:type="pct"/>
            <w:tcBorders>
              <w:top w:val="nil"/>
              <w:left w:val="nil"/>
              <w:bottom w:val="single" w:sz="4" w:space="0" w:color="auto"/>
              <w:right w:val="single" w:sz="4" w:space="0" w:color="auto"/>
            </w:tcBorders>
            <w:shd w:val="clear" w:color="auto" w:fill="auto"/>
            <w:vAlign w:val="center"/>
            <w:hideMark/>
          </w:tcPr>
          <w:p w14:paraId="6136BA84"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3 247 000</w:t>
            </w:r>
          </w:p>
        </w:tc>
        <w:tc>
          <w:tcPr>
            <w:tcW w:w="357" w:type="pct"/>
            <w:tcBorders>
              <w:top w:val="nil"/>
              <w:left w:val="nil"/>
              <w:bottom w:val="single" w:sz="4" w:space="0" w:color="auto"/>
              <w:right w:val="single" w:sz="4" w:space="0" w:color="auto"/>
            </w:tcBorders>
            <w:shd w:val="clear" w:color="auto" w:fill="auto"/>
            <w:vAlign w:val="center"/>
            <w:hideMark/>
          </w:tcPr>
          <w:p w14:paraId="0B9E3A77"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3 235 000</w:t>
            </w:r>
          </w:p>
        </w:tc>
        <w:tc>
          <w:tcPr>
            <w:tcW w:w="357" w:type="pct"/>
            <w:tcBorders>
              <w:top w:val="nil"/>
              <w:left w:val="nil"/>
              <w:bottom w:val="single" w:sz="4" w:space="0" w:color="auto"/>
              <w:right w:val="single" w:sz="4" w:space="0" w:color="auto"/>
            </w:tcBorders>
            <w:shd w:val="clear" w:color="auto" w:fill="auto"/>
            <w:vAlign w:val="center"/>
            <w:hideMark/>
          </w:tcPr>
          <w:p w14:paraId="503598E8"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3 226 000</w:t>
            </w:r>
          </w:p>
        </w:tc>
        <w:tc>
          <w:tcPr>
            <w:tcW w:w="357" w:type="pct"/>
            <w:tcBorders>
              <w:top w:val="nil"/>
              <w:left w:val="nil"/>
              <w:bottom w:val="single" w:sz="4" w:space="0" w:color="auto"/>
              <w:right w:val="single" w:sz="4" w:space="0" w:color="auto"/>
            </w:tcBorders>
            <w:shd w:val="clear" w:color="auto" w:fill="auto"/>
            <w:vAlign w:val="center"/>
            <w:hideMark/>
          </w:tcPr>
          <w:p w14:paraId="3337E688"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3 220 000</w:t>
            </w:r>
          </w:p>
        </w:tc>
        <w:tc>
          <w:tcPr>
            <w:tcW w:w="357" w:type="pct"/>
            <w:tcBorders>
              <w:top w:val="nil"/>
              <w:left w:val="nil"/>
              <w:bottom w:val="single" w:sz="4" w:space="0" w:color="auto"/>
              <w:right w:val="single" w:sz="4" w:space="0" w:color="auto"/>
            </w:tcBorders>
            <w:shd w:val="clear" w:color="auto" w:fill="auto"/>
            <w:vAlign w:val="center"/>
            <w:hideMark/>
          </w:tcPr>
          <w:p w14:paraId="0293B89E"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3 215 000</w:t>
            </w:r>
          </w:p>
        </w:tc>
        <w:tc>
          <w:tcPr>
            <w:tcW w:w="357" w:type="pct"/>
            <w:tcBorders>
              <w:top w:val="nil"/>
              <w:left w:val="nil"/>
              <w:bottom w:val="single" w:sz="4" w:space="0" w:color="auto"/>
              <w:right w:val="single" w:sz="4" w:space="0" w:color="auto"/>
            </w:tcBorders>
            <w:shd w:val="clear" w:color="auto" w:fill="auto"/>
            <w:vAlign w:val="center"/>
            <w:hideMark/>
          </w:tcPr>
          <w:p w14:paraId="781E2444"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3 205 528</w:t>
            </w:r>
          </w:p>
        </w:tc>
        <w:tc>
          <w:tcPr>
            <w:tcW w:w="352" w:type="pct"/>
            <w:tcBorders>
              <w:top w:val="nil"/>
              <w:left w:val="nil"/>
              <w:bottom w:val="single" w:sz="4" w:space="0" w:color="auto"/>
              <w:right w:val="single" w:sz="4" w:space="0" w:color="auto"/>
            </w:tcBorders>
            <w:shd w:val="clear" w:color="auto" w:fill="auto"/>
            <w:vAlign w:val="center"/>
            <w:hideMark/>
          </w:tcPr>
          <w:p w14:paraId="37623E9D"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4 261 520</w:t>
            </w:r>
          </w:p>
        </w:tc>
      </w:tr>
      <w:tr w:rsidR="00CD4625" w:rsidRPr="00CD4625" w14:paraId="737C5273" w14:textId="77777777" w:rsidTr="00914E32">
        <w:trPr>
          <w:trHeight w:val="20"/>
        </w:trPr>
        <w:tc>
          <w:tcPr>
            <w:tcW w:w="344" w:type="pct"/>
            <w:vMerge/>
            <w:tcBorders>
              <w:top w:val="nil"/>
              <w:left w:val="single" w:sz="4" w:space="0" w:color="auto"/>
              <w:bottom w:val="single" w:sz="4" w:space="0" w:color="auto"/>
              <w:right w:val="single" w:sz="4" w:space="0" w:color="auto"/>
            </w:tcBorders>
            <w:vAlign w:val="center"/>
            <w:hideMark/>
          </w:tcPr>
          <w:p w14:paraId="244BA883" w14:textId="77777777" w:rsidR="00CD4625" w:rsidRPr="005E43CE" w:rsidRDefault="00CD4625" w:rsidP="00DD0041">
            <w:pPr>
              <w:spacing w:after="0" w:line="240" w:lineRule="auto"/>
              <w:rPr>
                <w:rFonts w:ascii="Times New Roman" w:eastAsia="Calibri" w:hAnsi="Times New Roman" w:cs="Times New Roman"/>
                <w:color w:val="000000"/>
                <w:sz w:val="16"/>
                <w:szCs w:val="16"/>
                <w:lang w:eastAsia="ru-RU"/>
              </w:rPr>
            </w:pPr>
          </w:p>
        </w:tc>
        <w:tc>
          <w:tcPr>
            <w:tcW w:w="504" w:type="pct"/>
            <w:tcBorders>
              <w:top w:val="nil"/>
              <w:left w:val="nil"/>
              <w:bottom w:val="single" w:sz="4" w:space="0" w:color="auto"/>
              <w:right w:val="single" w:sz="4" w:space="0" w:color="auto"/>
            </w:tcBorders>
            <w:shd w:val="clear" w:color="auto" w:fill="auto"/>
            <w:vAlign w:val="center"/>
            <w:hideMark/>
          </w:tcPr>
          <w:p w14:paraId="058C7F89" w14:textId="3F53D3BB" w:rsidR="00CD4625" w:rsidRPr="00332407" w:rsidRDefault="00332407" w:rsidP="00DD0041">
            <w:pPr>
              <w:spacing w:after="0" w:line="240" w:lineRule="auto"/>
              <w:rPr>
                <w:rFonts w:ascii="Times New Roman" w:eastAsia="Calibri" w:hAnsi="Times New Roman" w:cs="Times New Roman"/>
                <w:color w:val="000000"/>
                <w:sz w:val="16"/>
                <w:szCs w:val="16"/>
                <w:lang w:val="en-US" w:eastAsia="ru-RU"/>
              </w:rPr>
            </w:pPr>
            <w:r>
              <w:rPr>
                <w:rFonts w:ascii="Times New Roman" w:eastAsia="Calibri" w:hAnsi="Times New Roman" w:cs="Times New Roman"/>
                <w:color w:val="000000"/>
                <w:sz w:val="16"/>
                <w:szCs w:val="16"/>
                <w:lang w:val="en-US" w:eastAsia="ru-RU"/>
              </w:rPr>
              <w:t>M</w:t>
            </w:r>
          </w:p>
        </w:tc>
        <w:tc>
          <w:tcPr>
            <w:tcW w:w="432" w:type="pct"/>
            <w:tcBorders>
              <w:top w:val="nil"/>
              <w:left w:val="nil"/>
              <w:bottom w:val="single" w:sz="4" w:space="0" w:color="auto"/>
              <w:right w:val="single" w:sz="4" w:space="0" w:color="auto"/>
            </w:tcBorders>
            <w:shd w:val="clear" w:color="auto" w:fill="auto"/>
            <w:vAlign w:val="center"/>
            <w:hideMark/>
          </w:tcPr>
          <w:p w14:paraId="7A056B5B"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3 105 000</w:t>
            </w:r>
          </w:p>
        </w:tc>
        <w:tc>
          <w:tcPr>
            <w:tcW w:w="433" w:type="pct"/>
            <w:tcBorders>
              <w:top w:val="nil"/>
              <w:left w:val="nil"/>
              <w:bottom w:val="single" w:sz="4" w:space="0" w:color="auto"/>
              <w:right w:val="single" w:sz="4" w:space="0" w:color="auto"/>
            </w:tcBorders>
            <w:shd w:val="clear" w:color="auto" w:fill="auto"/>
            <w:vAlign w:val="center"/>
            <w:hideMark/>
          </w:tcPr>
          <w:p w14:paraId="3CF471ED"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3 092 000</w:t>
            </w:r>
          </w:p>
        </w:tc>
        <w:tc>
          <w:tcPr>
            <w:tcW w:w="431" w:type="pct"/>
            <w:tcBorders>
              <w:top w:val="nil"/>
              <w:left w:val="nil"/>
              <w:bottom w:val="single" w:sz="4" w:space="0" w:color="auto"/>
              <w:right w:val="single" w:sz="4" w:space="0" w:color="auto"/>
            </w:tcBorders>
            <w:shd w:val="clear" w:color="auto" w:fill="auto"/>
            <w:vAlign w:val="center"/>
            <w:hideMark/>
          </w:tcPr>
          <w:p w14:paraId="08C37249"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3 012 955</w:t>
            </w:r>
          </w:p>
        </w:tc>
        <w:tc>
          <w:tcPr>
            <w:tcW w:w="364" w:type="pct"/>
            <w:tcBorders>
              <w:top w:val="nil"/>
              <w:left w:val="nil"/>
              <w:bottom w:val="single" w:sz="4" w:space="0" w:color="auto"/>
              <w:right w:val="single" w:sz="4" w:space="0" w:color="auto"/>
            </w:tcBorders>
            <w:shd w:val="clear" w:color="auto" w:fill="auto"/>
            <w:vAlign w:val="center"/>
            <w:hideMark/>
          </w:tcPr>
          <w:p w14:paraId="4D03FE2F"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3 009 000</w:t>
            </w:r>
          </w:p>
        </w:tc>
        <w:tc>
          <w:tcPr>
            <w:tcW w:w="357" w:type="pct"/>
            <w:tcBorders>
              <w:top w:val="nil"/>
              <w:left w:val="nil"/>
              <w:bottom w:val="single" w:sz="4" w:space="0" w:color="auto"/>
              <w:right w:val="single" w:sz="4" w:space="0" w:color="auto"/>
            </w:tcBorders>
            <w:shd w:val="clear" w:color="auto" w:fill="auto"/>
            <w:vAlign w:val="center"/>
            <w:hideMark/>
          </w:tcPr>
          <w:p w14:paraId="2D3B3C99"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3 005 000</w:t>
            </w:r>
          </w:p>
        </w:tc>
        <w:tc>
          <w:tcPr>
            <w:tcW w:w="357" w:type="pct"/>
            <w:tcBorders>
              <w:top w:val="nil"/>
              <w:left w:val="nil"/>
              <w:bottom w:val="single" w:sz="4" w:space="0" w:color="auto"/>
              <w:right w:val="single" w:sz="4" w:space="0" w:color="auto"/>
            </w:tcBorders>
            <w:shd w:val="clear" w:color="auto" w:fill="auto"/>
            <w:vAlign w:val="center"/>
            <w:hideMark/>
          </w:tcPr>
          <w:p w14:paraId="54908628"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2 992 000</w:t>
            </w:r>
          </w:p>
        </w:tc>
        <w:tc>
          <w:tcPr>
            <w:tcW w:w="357" w:type="pct"/>
            <w:tcBorders>
              <w:top w:val="nil"/>
              <w:left w:val="nil"/>
              <w:bottom w:val="single" w:sz="4" w:space="0" w:color="auto"/>
              <w:right w:val="single" w:sz="4" w:space="0" w:color="auto"/>
            </w:tcBorders>
            <w:shd w:val="clear" w:color="auto" w:fill="auto"/>
            <w:vAlign w:val="center"/>
            <w:hideMark/>
          </w:tcPr>
          <w:p w14:paraId="47779ECC"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2 985 000</w:t>
            </w:r>
          </w:p>
        </w:tc>
        <w:tc>
          <w:tcPr>
            <w:tcW w:w="357" w:type="pct"/>
            <w:tcBorders>
              <w:top w:val="nil"/>
              <w:left w:val="nil"/>
              <w:bottom w:val="single" w:sz="4" w:space="0" w:color="auto"/>
              <w:right w:val="single" w:sz="4" w:space="0" w:color="auto"/>
            </w:tcBorders>
            <w:shd w:val="clear" w:color="auto" w:fill="auto"/>
            <w:vAlign w:val="center"/>
            <w:hideMark/>
          </w:tcPr>
          <w:p w14:paraId="5313D206"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2 975 000</w:t>
            </w:r>
          </w:p>
        </w:tc>
        <w:tc>
          <w:tcPr>
            <w:tcW w:w="357" w:type="pct"/>
            <w:tcBorders>
              <w:top w:val="nil"/>
              <w:left w:val="nil"/>
              <w:bottom w:val="single" w:sz="4" w:space="0" w:color="auto"/>
              <w:right w:val="single" w:sz="4" w:space="0" w:color="auto"/>
            </w:tcBorders>
            <w:shd w:val="clear" w:color="auto" w:fill="auto"/>
            <w:vAlign w:val="center"/>
            <w:hideMark/>
          </w:tcPr>
          <w:p w14:paraId="3A6D08D2"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2 968 000</w:t>
            </w:r>
          </w:p>
        </w:tc>
        <w:tc>
          <w:tcPr>
            <w:tcW w:w="357" w:type="pct"/>
            <w:tcBorders>
              <w:top w:val="nil"/>
              <w:left w:val="nil"/>
              <w:bottom w:val="single" w:sz="4" w:space="0" w:color="auto"/>
              <w:right w:val="single" w:sz="4" w:space="0" w:color="auto"/>
            </w:tcBorders>
            <w:shd w:val="clear" w:color="auto" w:fill="auto"/>
            <w:vAlign w:val="center"/>
            <w:hideMark/>
          </w:tcPr>
          <w:p w14:paraId="03F83590"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2 959 756</w:t>
            </w:r>
          </w:p>
        </w:tc>
        <w:tc>
          <w:tcPr>
            <w:tcW w:w="352" w:type="pct"/>
            <w:tcBorders>
              <w:top w:val="nil"/>
              <w:left w:val="nil"/>
              <w:bottom w:val="single" w:sz="4" w:space="0" w:color="auto"/>
              <w:right w:val="single" w:sz="4" w:space="0" w:color="auto"/>
            </w:tcBorders>
            <w:shd w:val="clear" w:color="auto" w:fill="auto"/>
            <w:vAlign w:val="center"/>
            <w:hideMark/>
          </w:tcPr>
          <w:p w14:paraId="642B7D8C"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3 927 103</w:t>
            </w:r>
          </w:p>
        </w:tc>
      </w:tr>
      <w:tr w:rsidR="00CD4625" w:rsidRPr="00CD4625" w14:paraId="1BF3C276" w14:textId="77777777" w:rsidTr="00914E32">
        <w:trPr>
          <w:trHeight w:val="20"/>
        </w:trPr>
        <w:tc>
          <w:tcPr>
            <w:tcW w:w="344" w:type="pct"/>
            <w:vMerge w:val="restart"/>
            <w:tcBorders>
              <w:top w:val="nil"/>
              <w:left w:val="single" w:sz="4" w:space="0" w:color="auto"/>
              <w:bottom w:val="single" w:sz="4" w:space="0" w:color="auto"/>
              <w:right w:val="single" w:sz="4" w:space="0" w:color="auto"/>
            </w:tcBorders>
            <w:shd w:val="clear" w:color="auto" w:fill="auto"/>
            <w:vAlign w:val="center"/>
            <w:hideMark/>
          </w:tcPr>
          <w:p w14:paraId="037409E1" w14:textId="233B3EA6" w:rsidR="00CD4625" w:rsidRPr="00332407" w:rsidRDefault="00332407" w:rsidP="00DD0041">
            <w:pPr>
              <w:spacing w:after="0" w:line="240" w:lineRule="auto"/>
              <w:rPr>
                <w:rFonts w:ascii="Times New Roman" w:eastAsia="Calibri" w:hAnsi="Times New Roman" w:cs="Times New Roman"/>
                <w:color w:val="000000"/>
                <w:sz w:val="16"/>
                <w:szCs w:val="16"/>
                <w:lang w:val="en-US" w:eastAsia="ru-RU"/>
              </w:rPr>
            </w:pPr>
            <w:r>
              <w:rPr>
                <w:rFonts w:ascii="Times New Roman" w:eastAsia="Calibri" w:hAnsi="Times New Roman" w:cs="Times New Roman"/>
                <w:color w:val="000000"/>
                <w:sz w:val="16"/>
                <w:szCs w:val="16"/>
                <w:lang w:val="en-US" w:eastAsia="ru-RU"/>
              </w:rPr>
              <w:t>Age</w:t>
            </w:r>
          </w:p>
        </w:tc>
        <w:tc>
          <w:tcPr>
            <w:tcW w:w="504" w:type="pct"/>
            <w:tcBorders>
              <w:top w:val="nil"/>
              <w:left w:val="nil"/>
              <w:bottom w:val="single" w:sz="4" w:space="0" w:color="auto"/>
              <w:right w:val="single" w:sz="4" w:space="0" w:color="auto"/>
            </w:tcBorders>
            <w:shd w:val="clear" w:color="auto" w:fill="auto"/>
            <w:vAlign w:val="center"/>
            <w:hideMark/>
          </w:tcPr>
          <w:p w14:paraId="15ABB935" w14:textId="492B3B59" w:rsidR="00CD4625" w:rsidRPr="005E43CE" w:rsidRDefault="00332407" w:rsidP="00DD0041">
            <w:pPr>
              <w:spacing w:after="0" w:line="240" w:lineRule="auto"/>
              <w:rPr>
                <w:rFonts w:ascii="Times New Roman" w:eastAsia="Calibri" w:hAnsi="Times New Roman" w:cs="Times New Roman"/>
                <w:color w:val="000000"/>
                <w:sz w:val="16"/>
                <w:szCs w:val="16"/>
                <w:lang w:eastAsia="ru-RU"/>
              </w:rPr>
            </w:pPr>
            <w:proofErr w:type="spellStart"/>
            <w:r w:rsidRPr="00332407">
              <w:rPr>
                <w:rFonts w:ascii="Times New Roman" w:eastAsia="Calibri" w:hAnsi="Times New Roman" w:cs="Times New Roman"/>
                <w:color w:val="000000"/>
                <w:sz w:val="16"/>
                <w:szCs w:val="16"/>
                <w:lang w:eastAsia="ru-RU"/>
              </w:rPr>
              <w:t>Able-bodied</w:t>
            </w:r>
            <w:proofErr w:type="spellEnd"/>
          </w:p>
        </w:tc>
        <w:tc>
          <w:tcPr>
            <w:tcW w:w="432" w:type="pct"/>
            <w:tcBorders>
              <w:top w:val="nil"/>
              <w:left w:val="nil"/>
              <w:bottom w:val="single" w:sz="4" w:space="0" w:color="auto"/>
              <w:right w:val="single" w:sz="4" w:space="0" w:color="auto"/>
            </w:tcBorders>
            <w:shd w:val="clear" w:color="auto" w:fill="auto"/>
            <w:vAlign w:val="center"/>
            <w:hideMark/>
          </w:tcPr>
          <w:p w14:paraId="77ECF021"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4 202 000</w:t>
            </w:r>
          </w:p>
        </w:tc>
        <w:tc>
          <w:tcPr>
            <w:tcW w:w="433" w:type="pct"/>
            <w:tcBorders>
              <w:top w:val="nil"/>
              <w:left w:val="nil"/>
              <w:bottom w:val="single" w:sz="4" w:space="0" w:color="auto"/>
              <w:right w:val="single" w:sz="4" w:space="0" w:color="auto"/>
            </w:tcBorders>
            <w:shd w:val="clear" w:color="auto" w:fill="auto"/>
            <w:vAlign w:val="center"/>
            <w:hideMark/>
          </w:tcPr>
          <w:p w14:paraId="57C525F0"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4 139 000</w:t>
            </w:r>
          </w:p>
        </w:tc>
        <w:tc>
          <w:tcPr>
            <w:tcW w:w="431" w:type="pct"/>
            <w:tcBorders>
              <w:top w:val="nil"/>
              <w:left w:val="nil"/>
              <w:bottom w:val="single" w:sz="4" w:space="0" w:color="auto"/>
              <w:right w:val="single" w:sz="4" w:space="0" w:color="auto"/>
            </w:tcBorders>
            <w:shd w:val="clear" w:color="auto" w:fill="auto"/>
            <w:vAlign w:val="center"/>
            <w:hideMark/>
          </w:tcPr>
          <w:p w14:paraId="414D3D15"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3 955 862</w:t>
            </w:r>
          </w:p>
        </w:tc>
        <w:tc>
          <w:tcPr>
            <w:tcW w:w="364" w:type="pct"/>
            <w:tcBorders>
              <w:top w:val="nil"/>
              <w:left w:val="nil"/>
              <w:bottom w:val="single" w:sz="4" w:space="0" w:color="auto"/>
              <w:right w:val="single" w:sz="4" w:space="0" w:color="auto"/>
            </w:tcBorders>
            <w:shd w:val="clear" w:color="auto" w:fill="auto"/>
            <w:vAlign w:val="center"/>
            <w:hideMark/>
          </w:tcPr>
          <w:p w14:paraId="4B2D20C0"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3 928 000</w:t>
            </w:r>
          </w:p>
        </w:tc>
        <w:tc>
          <w:tcPr>
            <w:tcW w:w="357" w:type="pct"/>
            <w:tcBorders>
              <w:top w:val="nil"/>
              <w:left w:val="nil"/>
              <w:bottom w:val="single" w:sz="4" w:space="0" w:color="auto"/>
              <w:right w:val="single" w:sz="4" w:space="0" w:color="auto"/>
            </w:tcBorders>
            <w:shd w:val="clear" w:color="auto" w:fill="auto"/>
            <w:vAlign w:val="center"/>
            <w:hideMark/>
          </w:tcPr>
          <w:p w14:paraId="1D4E4297"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3 869 000</w:t>
            </w:r>
          </w:p>
        </w:tc>
        <w:tc>
          <w:tcPr>
            <w:tcW w:w="357" w:type="pct"/>
            <w:tcBorders>
              <w:top w:val="nil"/>
              <w:left w:val="nil"/>
              <w:bottom w:val="single" w:sz="4" w:space="0" w:color="auto"/>
              <w:right w:val="single" w:sz="4" w:space="0" w:color="auto"/>
            </w:tcBorders>
            <w:shd w:val="clear" w:color="auto" w:fill="auto"/>
            <w:vAlign w:val="center"/>
            <w:hideMark/>
          </w:tcPr>
          <w:p w14:paraId="5E5D505A"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3 797 000</w:t>
            </w:r>
          </w:p>
        </w:tc>
        <w:tc>
          <w:tcPr>
            <w:tcW w:w="357" w:type="pct"/>
            <w:tcBorders>
              <w:top w:val="nil"/>
              <w:left w:val="nil"/>
              <w:bottom w:val="single" w:sz="4" w:space="0" w:color="auto"/>
              <w:right w:val="single" w:sz="4" w:space="0" w:color="auto"/>
            </w:tcBorders>
            <w:shd w:val="clear" w:color="auto" w:fill="auto"/>
            <w:vAlign w:val="center"/>
            <w:hideMark/>
          </w:tcPr>
          <w:p w14:paraId="3CE0810F"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3 733 000</w:t>
            </w:r>
          </w:p>
        </w:tc>
        <w:tc>
          <w:tcPr>
            <w:tcW w:w="357" w:type="pct"/>
            <w:tcBorders>
              <w:top w:val="nil"/>
              <w:left w:val="nil"/>
              <w:bottom w:val="single" w:sz="4" w:space="0" w:color="auto"/>
              <w:right w:val="single" w:sz="4" w:space="0" w:color="auto"/>
            </w:tcBorders>
            <w:shd w:val="clear" w:color="auto" w:fill="auto"/>
            <w:vAlign w:val="center"/>
            <w:hideMark/>
          </w:tcPr>
          <w:p w14:paraId="0BC3F9AA"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3 666 000</w:t>
            </w:r>
          </w:p>
        </w:tc>
        <w:tc>
          <w:tcPr>
            <w:tcW w:w="357" w:type="pct"/>
            <w:tcBorders>
              <w:top w:val="nil"/>
              <w:left w:val="nil"/>
              <w:bottom w:val="single" w:sz="4" w:space="0" w:color="auto"/>
              <w:right w:val="single" w:sz="4" w:space="0" w:color="auto"/>
            </w:tcBorders>
            <w:shd w:val="clear" w:color="auto" w:fill="auto"/>
            <w:vAlign w:val="center"/>
            <w:hideMark/>
          </w:tcPr>
          <w:p w14:paraId="784DA0BB"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3 612 000</w:t>
            </w:r>
          </w:p>
        </w:tc>
        <w:tc>
          <w:tcPr>
            <w:tcW w:w="357" w:type="pct"/>
            <w:tcBorders>
              <w:top w:val="nil"/>
              <w:left w:val="nil"/>
              <w:bottom w:val="single" w:sz="4" w:space="0" w:color="auto"/>
              <w:right w:val="single" w:sz="4" w:space="0" w:color="auto"/>
            </w:tcBorders>
            <w:shd w:val="clear" w:color="auto" w:fill="auto"/>
            <w:vAlign w:val="center"/>
            <w:hideMark/>
          </w:tcPr>
          <w:p w14:paraId="551C2C0E"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3 565 136</w:t>
            </w:r>
          </w:p>
        </w:tc>
        <w:tc>
          <w:tcPr>
            <w:tcW w:w="352" w:type="pct"/>
            <w:tcBorders>
              <w:top w:val="nil"/>
              <w:left w:val="nil"/>
              <w:bottom w:val="single" w:sz="4" w:space="0" w:color="auto"/>
              <w:right w:val="single" w:sz="4" w:space="0" w:color="auto"/>
            </w:tcBorders>
            <w:shd w:val="clear" w:color="auto" w:fill="auto"/>
            <w:vAlign w:val="center"/>
            <w:hideMark/>
          </w:tcPr>
          <w:p w14:paraId="34D2F452"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4 659 211</w:t>
            </w:r>
          </w:p>
        </w:tc>
      </w:tr>
      <w:tr w:rsidR="00CD4625" w:rsidRPr="00CD4625" w14:paraId="671205CF" w14:textId="77777777" w:rsidTr="00914E32">
        <w:trPr>
          <w:trHeight w:val="20"/>
        </w:trPr>
        <w:tc>
          <w:tcPr>
            <w:tcW w:w="344" w:type="pct"/>
            <w:vMerge/>
            <w:tcBorders>
              <w:top w:val="nil"/>
              <w:left w:val="single" w:sz="4" w:space="0" w:color="auto"/>
              <w:bottom w:val="single" w:sz="4" w:space="0" w:color="auto"/>
              <w:right w:val="single" w:sz="4" w:space="0" w:color="auto"/>
            </w:tcBorders>
            <w:vAlign w:val="center"/>
            <w:hideMark/>
          </w:tcPr>
          <w:p w14:paraId="7177E615" w14:textId="77777777" w:rsidR="00CD4625" w:rsidRPr="005E43CE" w:rsidRDefault="00CD4625" w:rsidP="00DD0041">
            <w:pPr>
              <w:spacing w:after="0" w:line="240" w:lineRule="auto"/>
              <w:rPr>
                <w:rFonts w:ascii="Times New Roman" w:eastAsia="Calibri" w:hAnsi="Times New Roman" w:cs="Times New Roman"/>
                <w:color w:val="000000"/>
                <w:sz w:val="16"/>
                <w:szCs w:val="16"/>
                <w:lang w:eastAsia="ru-RU"/>
              </w:rPr>
            </w:pPr>
          </w:p>
        </w:tc>
        <w:tc>
          <w:tcPr>
            <w:tcW w:w="504" w:type="pct"/>
            <w:tcBorders>
              <w:top w:val="nil"/>
              <w:left w:val="nil"/>
              <w:bottom w:val="single" w:sz="4" w:space="0" w:color="auto"/>
              <w:right w:val="single" w:sz="4" w:space="0" w:color="auto"/>
            </w:tcBorders>
            <w:shd w:val="clear" w:color="auto" w:fill="auto"/>
            <w:vAlign w:val="center"/>
            <w:hideMark/>
          </w:tcPr>
          <w:p w14:paraId="1FC29CD5" w14:textId="48ABC206" w:rsidR="00CD4625" w:rsidRPr="005E43CE" w:rsidRDefault="00332407" w:rsidP="00DD0041">
            <w:pPr>
              <w:spacing w:after="0" w:line="240" w:lineRule="auto"/>
              <w:rPr>
                <w:rFonts w:ascii="Times New Roman" w:eastAsia="Calibri" w:hAnsi="Times New Roman" w:cs="Times New Roman"/>
                <w:color w:val="000000"/>
                <w:sz w:val="16"/>
                <w:szCs w:val="16"/>
                <w:lang w:eastAsia="ru-RU"/>
              </w:rPr>
            </w:pPr>
            <w:proofErr w:type="spellStart"/>
            <w:r w:rsidRPr="00332407">
              <w:rPr>
                <w:rFonts w:ascii="Times New Roman" w:eastAsia="Calibri" w:hAnsi="Times New Roman" w:cs="Times New Roman"/>
                <w:color w:val="000000"/>
                <w:sz w:val="16"/>
                <w:szCs w:val="16"/>
                <w:lang w:eastAsia="ru-RU"/>
              </w:rPr>
              <w:t>Not</w:t>
            </w:r>
            <w:proofErr w:type="spellEnd"/>
            <w:r w:rsidRPr="00332407">
              <w:rPr>
                <w:rFonts w:ascii="Times New Roman" w:eastAsia="Calibri" w:hAnsi="Times New Roman" w:cs="Times New Roman"/>
                <w:color w:val="000000"/>
                <w:sz w:val="16"/>
                <w:szCs w:val="16"/>
                <w:lang w:eastAsia="ru-RU"/>
              </w:rPr>
              <w:t xml:space="preserve"> </w:t>
            </w:r>
            <w:proofErr w:type="spellStart"/>
            <w:r w:rsidRPr="00332407">
              <w:rPr>
                <w:rFonts w:ascii="Times New Roman" w:eastAsia="Calibri" w:hAnsi="Times New Roman" w:cs="Times New Roman"/>
                <w:color w:val="000000"/>
                <w:sz w:val="16"/>
                <w:szCs w:val="16"/>
                <w:lang w:eastAsia="ru-RU"/>
              </w:rPr>
              <w:t>able</w:t>
            </w:r>
            <w:proofErr w:type="spellEnd"/>
            <w:r w:rsidRPr="00332407">
              <w:rPr>
                <w:rFonts w:ascii="Times New Roman" w:eastAsia="Calibri" w:hAnsi="Times New Roman" w:cs="Times New Roman"/>
                <w:color w:val="000000"/>
                <w:sz w:val="16"/>
                <w:szCs w:val="16"/>
                <w:lang w:eastAsia="ru-RU"/>
              </w:rPr>
              <w:t xml:space="preserve"> </w:t>
            </w:r>
            <w:proofErr w:type="spellStart"/>
            <w:r w:rsidRPr="00332407">
              <w:rPr>
                <w:rFonts w:ascii="Times New Roman" w:eastAsia="Calibri" w:hAnsi="Times New Roman" w:cs="Times New Roman"/>
                <w:color w:val="000000"/>
                <w:sz w:val="16"/>
                <w:szCs w:val="16"/>
                <w:lang w:eastAsia="ru-RU"/>
              </w:rPr>
              <w:t>to</w:t>
            </w:r>
            <w:proofErr w:type="spellEnd"/>
            <w:r w:rsidRPr="00332407">
              <w:rPr>
                <w:rFonts w:ascii="Times New Roman" w:eastAsia="Calibri" w:hAnsi="Times New Roman" w:cs="Times New Roman"/>
                <w:color w:val="000000"/>
                <w:sz w:val="16"/>
                <w:szCs w:val="16"/>
                <w:lang w:eastAsia="ru-RU"/>
              </w:rPr>
              <w:t xml:space="preserve"> </w:t>
            </w:r>
            <w:proofErr w:type="spellStart"/>
            <w:r w:rsidRPr="00332407">
              <w:rPr>
                <w:rFonts w:ascii="Times New Roman" w:eastAsia="Calibri" w:hAnsi="Times New Roman" w:cs="Times New Roman"/>
                <w:color w:val="000000"/>
                <w:sz w:val="16"/>
                <w:szCs w:val="16"/>
                <w:lang w:eastAsia="ru-RU"/>
              </w:rPr>
              <w:t>work</w:t>
            </w:r>
            <w:proofErr w:type="spellEnd"/>
          </w:p>
        </w:tc>
        <w:tc>
          <w:tcPr>
            <w:tcW w:w="432" w:type="pct"/>
            <w:tcBorders>
              <w:top w:val="nil"/>
              <w:left w:val="nil"/>
              <w:bottom w:val="single" w:sz="4" w:space="0" w:color="auto"/>
              <w:right w:val="single" w:sz="4" w:space="0" w:color="auto"/>
            </w:tcBorders>
            <w:shd w:val="clear" w:color="auto" w:fill="auto"/>
            <w:vAlign w:val="center"/>
            <w:hideMark/>
          </w:tcPr>
          <w:p w14:paraId="08074BC2"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1 140 000</w:t>
            </w:r>
          </w:p>
        </w:tc>
        <w:tc>
          <w:tcPr>
            <w:tcW w:w="433" w:type="pct"/>
            <w:tcBorders>
              <w:top w:val="nil"/>
              <w:left w:val="nil"/>
              <w:bottom w:val="single" w:sz="4" w:space="0" w:color="auto"/>
              <w:right w:val="single" w:sz="4" w:space="0" w:color="auto"/>
            </w:tcBorders>
            <w:shd w:val="clear" w:color="auto" w:fill="auto"/>
            <w:vAlign w:val="center"/>
            <w:hideMark/>
          </w:tcPr>
          <w:p w14:paraId="1AF203AE"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1 175 000</w:t>
            </w:r>
          </w:p>
        </w:tc>
        <w:tc>
          <w:tcPr>
            <w:tcW w:w="431" w:type="pct"/>
            <w:tcBorders>
              <w:top w:val="nil"/>
              <w:left w:val="nil"/>
              <w:bottom w:val="single" w:sz="4" w:space="0" w:color="auto"/>
              <w:right w:val="single" w:sz="4" w:space="0" w:color="auto"/>
            </w:tcBorders>
            <w:shd w:val="clear" w:color="auto" w:fill="auto"/>
            <w:vAlign w:val="center"/>
            <w:hideMark/>
          </w:tcPr>
          <w:p w14:paraId="5183F883"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1 218 370</w:t>
            </w:r>
          </w:p>
        </w:tc>
        <w:tc>
          <w:tcPr>
            <w:tcW w:w="364" w:type="pct"/>
            <w:tcBorders>
              <w:top w:val="nil"/>
              <w:left w:val="nil"/>
              <w:bottom w:val="single" w:sz="4" w:space="0" w:color="auto"/>
              <w:right w:val="single" w:sz="4" w:space="0" w:color="auto"/>
            </w:tcBorders>
            <w:shd w:val="clear" w:color="auto" w:fill="auto"/>
            <w:vAlign w:val="center"/>
            <w:hideMark/>
          </w:tcPr>
          <w:p w14:paraId="4EE18C4F"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1 232 000</w:t>
            </w:r>
          </w:p>
        </w:tc>
        <w:tc>
          <w:tcPr>
            <w:tcW w:w="357" w:type="pct"/>
            <w:tcBorders>
              <w:top w:val="nil"/>
              <w:left w:val="nil"/>
              <w:bottom w:val="single" w:sz="4" w:space="0" w:color="auto"/>
              <w:right w:val="single" w:sz="4" w:space="0" w:color="auto"/>
            </w:tcBorders>
            <w:shd w:val="clear" w:color="auto" w:fill="auto"/>
            <w:vAlign w:val="center"/>
            <w:hideMark/>
          </w:tcPr>
          <w:p w14:paraId="3DD0A0EB"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1 258 000</w:t>
            </w:r>
          </w:p>
        </w:tc>
        <w:tc>
          <w:tcPr>
            <w:tcW w:w="357" w:type="pct"/>
            <w:tcBorders>
              <w:top w:val="nil"/>
              <w:left w:val="nil"/>
              <w:bottom w:val="single" w:sz="4" w:space="0" w:color="auto"/>
              <w:right w:val="single" w:sz="4" w:space="0" w:color="auto"/>
            </w:tcBorders>
            <w:shd w:val="clear" w:color="auto" w:fill="auto"/>
            <w:vAlign w:val="center"/>
            <w:hideMark/>
          </w:tcPr>
          <w:p w14:paraId="07BA38A2"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1 284 000</w:t>
            </w:r>
          </w:p>
        </w:tc>
        <w:tc>
          <w:tcPr>
            <w:tcW w:w="357" w:type="pct"/>
            <w:tcBorders>
              <w:top w:val="nil"/>
              <w:left w:val="nil"/>
              <w:bottom w:val="single" w:sz="4" w:space="0" w:color="auto"/>
              <w:right w:val="single" w:sz="4" w:space="0" w:color="auto"/>
            </w:tcBorders>
            <w:shd w:val="clear" w:color="auto" w:fill="auto"/>
            <w:vAlign w:val="center"/>
            <w:hideMark/>
          </w:tcPr>
          <w:p w14:paraId="0E1B497D"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1 311 000</w:t>
            </w:r>
          </w:p>
        </w:tc>
        <w:tc>
          <w:tcPr>
            <w:tcW w:w="357" w:type="pct"/>
            <w:tcBorders>
              <w:top w:val="nil"/>
              <w:left w:val="nil"/>
              <w:bottom w:val="single" w:sz="4" w:space="0" w:color="auto"/>
              <w:right w:val="single" w:sz="4" w:space="0" w:color="auto"/>
            </w:tcBorders>
            <w:shd w:val="clear" w:color="auto" w:fill="auto"/>
            <w:vAlign w:val="center"/>
            <w:hideMark/>
          </w:tcPr>
          <w:p w14:paraId="47DF0173"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1 338 000</w:t>
            </w:r>
          </w:p>
        </w:tc>
        <w:tc>
          <w:tcPr>
            <w:tcW w:w="357" w:type="pct"/>
            <w:tcBorders>
              <w:top w:val="nil"/>
              <w:left w:val="nil"/>
              <w:bottom w:val="single" w:sz="4" w:space="0" w:color="auto"/>
              <w:right w:val="single" w:sz="4" w:space="0" w:color="auto"/>
            </w:tcBorders>
            <w:shd w:val="clear" w:color="auto" w:fill="auto"/>
            <w:vAlign w:val="center"/>
            <w:hideMark/>
          </w:tcPr>
          <w:p w14:paraId="514765BA"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1 360 000</w:t>
            </w:r>
          </w:p>
        </w:tc>
        <w:tc>
          <w:tcPr>
            <w:tcW w:w="357" w:type="pct"/>
            <w:tcBorders>
              <w:top w:val="nil"/>
              <w:left w:val="nil"/>
              <w:bottom w:val="single" w:sz="4" w:space="0" w:color="auto"/>
              <w:right w:val="single" w:sz="4" w:space="0" w:color="auto"/>
            </w:tcBorders>
            <w:shd w:val="clear" w:color="auto" w:fill="auto"/>
            <w:vAlign w:val="center"/>
            <w:hideMark/>
          </w:tcPr>
          <w:p w14:paraId="3B167F51"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1 379 968</w:t>
            </w:r>
          </w:p>
        </w:tc>
        <w:tc>
          <w:tcPr>
            <w:tcW w:w="352" w:type="pct"/>
            <w:tcBorders>
              <w:top w:val="nil"/>
              <w:left w:val="nil"/>
              <w:bottom w:val="single" w:sz="4" w:space="0" w:color="auto"/>
              <w:right w:val="single" w:sz="4" w:space="0" w:color="auto"/>
            </w:tcBorders>
            <w:shd w:val="clear" w:color="auto" w:fill="auto"/>
            <w:vAlign w:val="center"/>
            <w:hideMark/>
          </w:tcPr>
          <w:p w14:paraId="691F0BBB"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1 821 985</w:t>
            </w:r>
          </w:p>
        </w:tc>
      </w:tr>
      <w:tr w:rsidR="00CD4625" w:rsidRPr="00CD4625" w14:paraId="7B738FD4" w14:textId="77777777" w:rsidTr="00914E32">
        <w:trPr>
          <w:trHeight w:val="20"/>
        </w:trPr>
        <w:tc>
          <w:tcPr>
            <w:tcW w:w="344" w:type="pct"/>
            <w:vMerge w:val="restart"/>
            <w:tcBorders>
              <w:top w:val="nil"/>
              <w:left w:val="single" w:sz="4" w:space="0" w:color="auto"/>
              <w:bottom w:val="single" w:sz="4" w:space="0" w:color="auto"/>
              <w:right w:val="single" w:sz="4" w:space="0" w:color="auto"/>
            </w:tcBorders>
            <w:shd w:val="clear" w:color="auto" w:fill="auto"/>
            <w:vAlign w:val="center"/>
            <w:hideMark/>
          </w:tcPr>
          <w:p w14:paraId="3975C039" w14:textId="37E32A17" w:rsidR="00CD4625" w:rsidRPr="00337261" w:rsidRDefault="00914E32" w:rsidP="00DD0041">
            <w:pPr>
              <w:spacing w:after="0" w:line="240" w:lineRule="auto"/>
              <w:rPr>
                <w:rFonts w:ascii="Times New Roman" w:eastAsia="Calibri" w:hAnsi="Times New Roman" w:cs="Times New Roman"/>
                <w:color w:val="000000"/>
                <w:sz w:val="16"/>
                <w:szCs w:val="16"/>
                <w:lang w:val="en-US" w:eastAsia="ru-RU"/>
              </w:rPr>
            </w:pPr>
            <w:r>
              <w:rPr>
                <w:rFonts w:ascii="Times New Roman" w:eastAsia="Calibri" w:hAnsi="Times New Roman" w:cs="Times New Roman"/>
                <w:color w:val="000000"/>
                <w:sz w:val="16"/>
                <w:szCs w:val="16"/>
                <w:lang w:val="en-US" w:eastAsia="ru-RU"/>
              </w:rPr>
              <w:t xml:space="preserve">Marital </w:t>
            </w:r>
            <w:r w:rsidR="00337261">
              <w:rPr>
                <w:rFonts w:ascii="Times New Roman" w:eastAsia="Calibri" w:hAnsi="Times New Roman" w:cs="Times New Roman"/>
                <w:color w:val="000000"/>
                <w:sz w:val="16"/>
                <w:szCs w:val="16"/>
                <w:lang w:val="en-US" w:eastAsia="ru-RU"/>
              </w:rPr>
              <w:t>status</w:t>
            </w:r>
          </w:p>
        </w:tc>
        <w:tc>
          <w:tcPr>
            <w:tcW w:w="504" w:type="pct"/>
            <w:tcBorders>
              <w:top w:val="nil"/>
              <w:left w:val="nil"/>
              <w:bottom w:val="single" w:sz="4" w:space="0" w:color="auto"/>
              <w:right w:val="single" w:sz="4" w:space="0" w:color="auto"/>
            </w:tcBorders>
            <w:shd w:val="clear" w:color="auto" w:fill="auto"/>
            <w:vAlign w:val="center"/>
            <w:hideMark/>
          </w:tcPr>
          <w:p w14:paraId="755C255E" w14:textId="44184F45" w:rsidR="00CD4625" w:rsidRPr="00337261" w:rsidRDefault="00337261" w:rsidP="00DD0041">
            <w:pPr>
              <w:spacing w:after="0" w:line="240" w:lineRule="auto"/>
              <w:rPr>
                <w:rFonts w:ascii="Times New Roman" w:eastAsia="Calibri" w:hAnsi="Times New Roman" w:cs="Times New Roman"/>
                <w:color w:val="000000"/>
                <w:sz w:val="16"/>
                <w:szCs w:val="16"/>
                <w:lang w:val="en-US" w:eastAsia="ru-RU"/>
              </w:rPr>
            </w:pPr>
            <w:r>
              <w:rPr>
                <w:rFonts w:ascii="Times New Roman" w:eastAsia="Calibri" w:hAnsi="Times New Roman" w:cs="Times New Roman"/>
                <w:color w:val="000000"/>
                <w:sz w:val="16"/>
                <w:szCs w:val="16"/>
                <w:lang w:val="en-US" w:eastAsia="ru-RU"/>
              </w:rPr>
              <w:t>Marriage</w:t>
            </w:r>
          </w:p>
        </w:tc>
        <w:tc>
          <w:tcPr>
            <w:tcW w:w="432" w:type="pct"/>
            <w:tcBorders>
              <w:top w:val="nil"/>
              <w:left w:val="nil"/>
              <w:bottom w:val="single" w:sz="4" w:space="0" w:color="auto"/>
              <w:right w:val="single" w:sz="4" w:space="0" w:color="auto"/>
            </w:tcBorders>
            <w:shd w:val="clear" w:color="auto" w:fill="auto"/>
            <w:vAlign w:val="center"/>
            <w:hideMark/>
          </w:tcPr>
          <w:p w14:paraId="6B127F1B"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57 685</w:t>
            </w:r>
          </w:p>
        </w:tc>
        <w:tc>
          <w:tcPr>
            <w:tcW w:w="433" w:type="pct"/>
            <w:tcBorders>
              <w:top w:val="nil"/>
              <w:left w:val="nil"/>
              <w:bottom w:val="single" w:sz="4" w:space="0" w:color="auto"/>
              <w:right w:val="single" w:sz="4" w:space="0" w:color="auto"/>
            </w:tcBorders>
            <w:shd w:val="clear" w:color="auto" w:fill="auto"/>
            <w:vAlign w:val="center"/>
            <w:hideMark/>
          </w:tcPr>
          <w:p w14:paraId="3FA327AB"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58 773</w:t>
            </w:r>
          </w:p>
        </w:tc>
        <w:tc>
          <w:tcPr>
            <w:tcW w:w="431" w:type="pct"/>
            <w:tcBorders>
              <w:top w:val="nil"/>
              <w:left w:val="nil"/>
              <w:bottom w:val="single" w:sz="4" w:space="0" w:color="auto"/>
              <w:right w:val="single" w:sz="4" w:space="0" w:color="auto"/>
            </w:tcBorders>
            <w:shd w:val="clear" w:color="auto" w:fill="auto"/>
            <w:vAlign w:val="center"/>
            <w:hideMark/>
          </w:tcPr>
          <w:p w14:paraId="7135A482"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61 732</w:t>
            </w:r>
          </w:p>
        </w:tc>
        <w:tc>
          <w:tcPr>
            <w:tcW w:w="364" w:type="pct"/>
            <w:tcBorders>
              <w:top w:val="nil"/>
              <w:left w:val="nil"/>
              <w:bottom w:val="single" w:sz="4" w:space="0" w:color="auto"/>
              <w:right w:val="single" w:sz="4" w:space="0" w:color="auto"/>
            </w:tcBorders>
            <w:shd w:val="clear" w:color="auto" w:fill="auto"/>
            <w:vAlign w:val="center"/>
            <w:hideMark/>
          </w:tcPr>
          <w:p w14:paraId="31F503D1"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58 682</w:t>
            </w:r>
          </w:p>
        </w:tc>
        <w:tc>
          <w:tcPr>
            <w:tcW w:w="357" w:type="pct"/>
            <w:tcBorders>
              <w:top w:val="nil"/>
              <w:left w:val="nil"/>
              <w:bottom w:val="single" w:sz="4" w:space="0" w:color="auto"/>
              <w:right w:val="single" w:sz="4" w:space="0" w:color="auto"/>
            </w:tcBorders>
            <w:shd w:val="clear" w:color="auto" w:fill="auto"/>
            <w:vAlign w:val="center"/>
            <w:hideMark/>
          </w:tcPr>
          <w:p w14:paraId="1FA034AE"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57 776</w:t>
            </w:r>
          </w:p>
        </w:tc>
        <w:tc>
          <w:tcPr>
            <w:tcW w:w="357" w:type="pct"/>
            <w:tcBorders>
              <w:top w:val="nil"/>
              <w:left w:val="nil"/>
              <w:bottom w:val="single" w:sz="4" w:space="0" w:color="auto"/>
              <w:right w:val="single" w:sz="4" w:space="0" w:color="auto"/>
            </w:tcBorders>
            <w:shd w:val="clear" w:color="auto" w:fill="auto"/>
            <w:vAlign w:val="center"/>
            <w:hideMark/>
          </w:tcPr>
          <w:p w14:paraId="6011C330"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56 688</w:t>
            </w:r>
          </w:p>
        </w:tc>
        <w:tc>
          <w:tcPr>
            <w:tcW w:w="357" w:type="pct"/>
            <w:tcBorders>
              <w:top w:val="nil"/>
              <w:left w:val="nil"/>
              <w:bottom w:val="single" w:sz="4" w:space="0" w:color="auto"/>
              <w:right w:val="single" w:sz="4" w:space="0" w:color="auto"/>
            </w:tcBorders>
            <w:shd w:val="clear" w:color="auto" w:fill="auto"/>
            <w:vAlign w:val="center"/>
            <w:hideMark/>
          </w:tcPr>
          <w:p w14:paraId="2479E952"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53 123</w:t>
            </w:r>
          </w:p>
        </w:tc>
        <w:tc>
          <w:tcPr>
            <w:tcW w:w="357" w:type="pct"/>
            <w:tcBorders>
              <w:top w:val="nil"/>
              <w:left w:val="nil"/>
              <w:bottom w:val="single" w:sz="4" w:space="0" w:color="auto"/>
              <w:right w:val="single" w:sz="4" w:space="0" w:color="auto"/>
            </w:tcBorders>
            <w:shd w:val="clear" w:color="auto" w:fill="auto"/>
            <w:vAlign w:val="center"/>
            <w:hideMark/>
          </w:tcPr>
          <w:p w14:paraId="73F8C34E"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46 972</w:t>
            </w:r>
          </w:p>
        </w:tc>
        <w:tc>
          <w:tcPr>
            <w:tcW w:w="357" w:type="pct"/>
            <w:tcBorders>
              <w:top w:val="nil"/>
              <w:left w:val="nil"/>
              <w:bottom w:val="single" w:sz="4" w:space="0" w:color="auto"/>
              <w:right w:val="single" w:sz="4" w:space="0" w:color="auto"/>
            </w:tcBorders>
            <w:shd w:val="clear" w:color="auto" w:fill="auto"/>
            <w:vAlign w:val="center"/>
            <w:hideMark/>
          </w:tcPr>
          <w:p w14:paraId="29698358"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48 786</w:t>
            </w:r>
          </w:p>
        </w:tc>
        <w:tc>
          <w:tcPr>
            <w:tcW w:w="357" w:type="pct"/>
            <w:tcBorders>
              <w:top w:val="nil"/>
              <w:left w:val="nil"/>
              <w:bottom w:val="single" w:sz="4" w:space="0" w:color="auto"/>
              <w:right w:val="single" w:sz="4" w:space="0" w:color="auto"/>
            </w:tcBorders>
            <w:shd w:val="clear" w:color="auto" w:fill="auto"/>
            <w:vAlign w:val="center"/>
            <w:hideMark/>
          </w:tcPr>
          <w:p w14:paraId="4FE0921F"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54 416</w:t>
            </w:r>
          </w:p>
        </w:tc>
        <w:tc>
          <w:tcPr>
            <w:tcW w:w="352" w:type="pct"/>
            <w:tcBorders>
              <w:top w:val="nil"/>
              <w:left w:val="nil"/>
              <w:bottom w:val="single" w:sz="4" w:space="0" w:color="auto"/>
              <w:right w:val="single" w:sz="4" w:space="0" w:color="auto"/>
            </w:tcBorders>
            <w:shd w:val="clear" w:color="auto" w:fill="auto"/>
            <w:vAlign w:val="center"/>
            <w:hideMark/>
          </w:tcPr>
          <w:p w14:paraId="75529037"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w:t>
            </w:r>
          </w:p>
        </w:tc>
      </w:tr>
      <w:tr w:rsidR="00CD4625" w:rsidRPr="00CD4625" w14:paraId="3F6F9FDD" w14:textId="77777777" w:rsidTr="00914E32">
        <w:trPr>
          <w:trHeight w:val="20"/>
        </w:trPr>
        <w:tc>
          <w:tcPr>
            <w:tcW w:w="344" w:type="pct"/>
            <w:vMerge/>
            <w:tcBorders>
              <w:top w:val="nil"/>
              <w:left w:val="single" w:sz="4" w:space="0" w:color="auto"/>
              <w:bottom w:val="single" w:sz="4" w:space="0" w:color="auto"/>
              <w:right w:val="single" w:sz="4" w:space="0" w:color="auto"/>
            </w:tcBorders>
            <w:vAlign w:val="center"/>
            <w:hideMark/>
          </w:tcPr>
          <w:p w14:paraId="1B61AFFA" w14:textId="77777777" w:rsidR="00CD4625" w:rsidRPr="005E43CE" w:rsidRDefault="00CD4625" w:rsidP="00DD0041">
            <w:pPr>
              <w:spacing w:after="0" w:line="240" w:lineRule="auto"/>
              <w:rPr>
                <w:rFonts w:ascii="Times New Roman" w:eastAsia="Calibri" w:hAnsi="Times New Roman" w:cs="Times New Roman"/>
                <w:color w:val="000000"/>
                <w:sz w:val="16"/>
                <w:szCs w:val="16"/>
                <w:lang w:eastAsia="ru-RU"/>
              </w:rPr>
            </w:pPr>
          </w:p>
        </w:tc>
        <w:tc>
          <w:tcPr>
            <w:tcW w:w="504" w:type="pct"/>
            <w:tcBorders>
              <w:top w:val="nil"/>
              <w:left w:val="nil"/>
              <w:bottom w:val="single" w:sz="4" w:space="0" w:color="auto"/>
              <w:right w:val="single" w:sz="4" w:space="0" w:color="auto"/>
            </w:tcBorders>
            <w:shd w:val="clear" w:color="auto" w:fill="auto"/>
            <w:vAlign w:val="center"/>
            <w:hideMark/>
          </w:tcPr>
          <w:p w14:paraId="0DA8DC52" w14:textId="55CF8410" w:rsidR="00CD4625" w:rsidRPr="00337261" w:rsidRDefault="00337261" w:rsidP="00DD0041">
            <w:pPr>
              <w:spacing w:after="0" w:line="240" w:lineRule="auto"/>
              <w:rPr>
                <w:rFonts w:ascii="Times New Roman" w:eastAsia="Calibri" w:hAnsi="Times New Roman" w:cs="Times New Roman"/>
                <w:color w:val="000000"/>
                <w:sz w:val="16"/>
                <w:szCs w:val="16"/>
                <w:lang w:val="en-US" w:eastAsia="ru-RU"/>
              </w:rPr>
            </w:pPr>
            <w:r>
              <w:rPr>
                <w:rFonts w:ascii="Times New Roman" w:eastAsia="Calibri" w:hAnsi="Times New Roman" w:cs="Times New Roman"/>
                <w:color w:val="000000"/>
                <w:sz w:val="16"/>
                <w:szCs w:val="16"/>
                <w:lang w:val="en-US" w:eastAsia="ru-RU"/>
              </w:rPr>
              <w:t>Divorce</w:t>
            </w:r>
          </w:p>
        </w:tc>
        <w:tc>
          <w:tcPr>
            <w:tcW w:w="432" w:type="pct"/>
            <w:tcBorders>
              <w:top w:val="nil"/>
              <w:left w:val="nil"/>
              <w:bottom w:val="single" w:sz="4" w:space="0" w:color="auto"/>
              <w:right w:val="single" w:sz="4" w:space="0" w:color="auto"/>
            </w:tcBorders>
            <w:shd w:val="clear" w:color="auto" w:fill="auto"/>
            <w:vAlign w:val="center"/>
            <w:hideMark/>
          </w:tcPr>
          <w:p w14:paraId="2218E8BE"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37 470</w:t>
            </w:r>
          </w:p>
        </w:tc>
        <w:tc>
          <w:tcPr>
            <w:tcW w:w="433" w:type="pct"/>
            <w:tcBorders>
              <w:top w:val="nil"/>
              <w:left w:val="nil"/>
              <w:bottom w:val="single" w:sz="4" w:space="0" w:color="auto"/>
              <w:right w:val="single" w:sz="4" w:space="0" w:color="auto"/>
            </w:tcBorders>
            <w:shd w:val="clear" w:color="auto" w:fill="auto"/>
            <w:vAlign w:val="center"/>
            <w:hideMark/>
          </w:tcPr>
          <w:p w14:paraId="30A58848"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34 256</w:t>
            </w:r>
          </w:p>
        </w:tc>
        <w:tc>
          <w:tcPr>
            <w:tcW w:w="431" w:type="pct"/>
            <w:tcBorders>
              <w:top w:val="nil"/>
              <w:left w:val="nil"/>
              <w:bottom w:val="single" w:sz="4" w:space="0" w:color="auto"/>
              <w:right w:val="single" w:sz="4" w:space="0" w:color="auto"/>
            </w:tcBorders>
            <w:shd w:val="clear" w:color="auto" w:fill="auto"/>
            <w:vAlign w:val="center"/>
            <w:hideMark/>
          </w:tcPr>
          <w:p w14:paraId="596A0207"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36 219</w:t>
            </w:r>
          </w:p>
        </w:tc>
        <w:tc>
          <w:tcPr>
            <w:tcW w:w="364" w:type="pct"/>
            <w:tcBorders>
              <w:top w:val="nil"/>
              <w:left w:val="nil"/>
              <w:bottom w:val="single" w:sz="4" w:space="0" w:color="auto"/>
              <w:right w:val="single" w:sz="4" w:space="0" w:color="auto"/>
            </w:tcBorders>
            <w:shd w:val="clear" w:color="auto" w:fill="auto"/>
            <w:vAlign w:val="center"/>
            <w:hideMark/>
          </w:tcPr>
          <w:p w14:paraId="52DCB882"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34 417</w:t>
            </w:r>
          </w:p>
        </w:tc>
        <w:tc>
          <w:tcPr>
            <w:tcW w:w="357" w:type="pct"/>
            <w:tcBorders>
              <w:top w:val="nil"/>
              <w:left w:val="nil"/>
              <w:bottom w:val="single" w:sz="4" w:space="0" w:color="auto"/>
              <w:right w:val="single" w:sz="4" w:space="0" w:color="auto"/>
            </w:tcBorders>
            <w:shd w:val="clear" w:color="auto" w:fill="auto"/>
            <w:vAlign w:val="center"/>
            <w:hideMark/>
          </w:tcPr>
          <w:p w14:paraId="789F37A1"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35 965</w:t>
            </w:r>
          </w:p>
        </w:tc>
        <w:tc>
          <w:tcPr>
            <w:tcW w:w="357" w:type="pct"/>
            <w:tcBorders>
              <w:top w:val="nil"/>
              <w:left w:val="nil"/>
              <w:bottom w:val="single" w:sz="4" w:space="0" w:color="auto"/>
              <w:right w:val="single" w:sz="4" w:space="0" w:color="auto"/>
            </w:tcBorders>
            <w:shd w:val="clear" w:color="auto" w:fill="auto"/>
            <w:vAlign w:val="center"/>
            <w:hideMark/>
          </w:tcPr>
          <w:p w14:paraId="0F26049E"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36 435</w:t>
            </w:r>
          </w:p>
        </w:tc>
        <w:tc>
          <w:tcPr>
            <w:tcW w:w="357" w:type="pct"/>
            <w:tcBorders>
              <w:top w:val="nil"/>
              <w:left w:val="nil"/>
              <w:bottom w:val="single" w:sz="4" w:space="0" w:color="auto"/>
              <w:right w:val="single" w:sz="4" w:space="0" w:color="auto"/>
            </w:tcBorders>
            <w:shd w:val="clear" w:color="auto" w:fill="auto"/>
            <w:vAlign w:val="center"/>
            <w:hideMark/>
          </w:tcPr>
          <w:p w14:paraId="408BCEE1"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31 708</w:t>
            </w:r>
          </w:p>
        </w:tc>
        <w:tc>
          <w:tcPr>
            <w:tcW w:w="357" w:type="pct"/>
            <w:tcBorders>
              <w:top w:val="nil"/>
              <w:left w:val="nil"/>
              <w:bottom w:val="single" w:sz="4" w:space="0" w:color="auto"/>
              <w:right w:val="single" w:sz="4" w:space="0" w:color="auto"/>
            </w:tcBorders>
            <w:shd w:val="clear" w:color="auto" w:fill="auto"/>
            <w:vAlign w:val="center"/>
            <w:hideMark/>
          </w:tcPr>
          <w:p w14:paraId="4E8C7164"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31 102</w:t>
            </w:r>
          </w:p>
        </w:tc>
        <w:tc>
          <w:tcPr>
            <w:tcW w:w="357" w:type="pct"/>
            <w:tcBorders>
              <w:top w:val="nil"/>
              <w:left w:val="nil"/>
              <w:bottom w:val="single" w:sz="4" w:space="0" w:color="auto"/>
              <w:right w:val="single" w:sz="4" w:space="0" w:color="auto"/>
            </w:tcBorders>
            <w:shd w:val="clear" w:color="auto" w:fill="auto"/>
            <w:vAlign w:val="center"/>
            <w:hideMark/>
          </w:tcPr>
          <w:p w14:paraId="7CE6F97E"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30 673</w:t>
            </w:r>
          </w:p>
        </w:tc>
        <w:tc>
          <w:tcPr>
            <w:tcW w:w="357" w:type="pct"/>
            <w:tcBorders>
              <w:top w:val="nil"/>
              <w:left w:val="nil"/>
              <w:bottom w:val="single" w:sz="4" w:space="0" w:color="auto"/>
              <w:right w:val="single" w:sz="4" w:space="0" w:color="auto"/>
            </w:tcBorders>
            <w:shd w:val="clear" w:color="auto" w:fill="auto"/>
            <w:vAlign w:val="center"/>
            <w:hideMark/>
          </w:tcPr>
          <w:p w14:paraId="43FE53C1" w14:textId="77777777" w:rsidR="00CD4625" w:rsidRPr="005E43CE" w:rsidRDefault="00CD4625" w:rsidP="00DD0041">
            <w:pPr>
              <w:spacing w:after="0" w:line="240" w:lineRule="auto"/>
              <w:jc w:val="center"/>
              <w:rPr>
                <w:rFonts w:ascii="Times New Roman" w:eastAsia="Calibri" w:hAnsi="Times New Roman" w:cs="Times New Roman"/>
                <w:color w:val="2E2E2E"/>
                <w:sz w:val="16"/>
                <w:szCs w:val="16"/>
                <w:lang w:eastAsia="ru-RU"/>
              </w:rPr>
            </w:pPr>
            <w:r w:rsidRPr="005E43CE">
              <w:rPr>
                <w:rFonts w:ascii="Times New Roman" w:eastAsia="Calibri" w:hAnsi="Times New Roman" w:cs="Times New Roman"/>
                <w:color w:val="2E2E2E"/>
                <w:sz w:val="16"/>
                <w:szCs w:val="16"/>
                <w:lang w:eastAsia="ru-RU"/>
              </w:rPr>
              <w:t>37 656</w:t>
            </w:r>
          </w:p>
        </w:tc>
        <w:tc>
          <w:tcPr>
            <w:tcW w:w="352" w:type="pct"/>
            <w:tcBorders>
              <w:top w:val="nil"/>
              <w:left w:val="nil"/>
              <w:bottom w:val="single" w:sz="4" w:space="0" w:color="auto"/>
              <w:right w:val="single" w:sz="4" w:space="0" w:color="auto"/>
            </w:tcBorders>
            <w:shd w:val="clear" w:color="auto" w:fill="auto"/>
            <w:vAlign w:val="center"/>
            <w:hideMark/>
          </w:tcPr>
          <w:p w14:paraId="0EDFEC0E"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w:t>
            </w:r>
          </w:p>
        </w:tc>
      </w:tr>
      <w:tr w:rsidR="00CD4625" w:rsidRPr="00CD4625" w14:paraId="241AAC29" w14:textId="77777777" w:rsidTr="00914E32">
        <w:trPr>
          <w:trHeight w:val="20"/>
        </w:trPr>
        <w:tc>
          <w:tcPr>
            <w:tcW w:w="84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854C5C4" w14:textId="589CD38C" w:rsidR="00CD4625" w:rsidRPr="00337261" w:rsidRDefault="00337261" w:rsidP="00DD0041">
            <w:pPr>
              <w:spacing w:after="0" w:line="240" w:lineRule="auto"/>
              <w:rPr>
                <w:rFonts w:ascii="Times New Roman" w:eastAsia="Calibri" w:hAnsi="Times New Roman" w:cs="Times New Roman"/>
                <w:color w:val="000000"/>
                <w:sz w:val="16"/>
                <w:szCs w:val="16"/>
                <w:lang w:val="en-US" w:eastAsia="ru-RU"/>
              </w:rPr>
            </w:pPr>
            <w:r>
              <w:rPr>
                <w:rFonts w:ascii="Times New Roman" w:eastAsia="Calibri" w:hAnsi="Times New Roman" w:cs="Times New Roman"/>
                <w:color w:val="000000"/>
                <w:sz w:val="16"/>
                <w:szCs w:val="16"/>
                <w:lang w:val="en-US" w:eastAsia="ru-RU"/>
              </w:rPr>
              <w:t>GRP</w:t>
            </w:r>
            <w:r w:rsidR="00CD4625" w:rsidRPr="005E43CE">
              <w:rPr>
                <w:rFonts w:ascii="Times New Roman" w:eastAsia="Calibri" w:hAnsi="Times New Roman" w:cs="Times New Roman"/>
                <w:color w:val="000000"/>
                <w:sz w:val="16"/>
                <w:szCs w:val="16"/>
                <w:lang w:eastAsia="ru-RU"/>
              </w:rPr>
              <w:t xml:space="preserve">, </w:t>
            </w:r>
            <w:r>
              <w:rPr>
                <w:rFonts w:ascii="Times New Roman" w:eastAsia="Calibri" w:hAnsi="Times New Roman" w:cs="Times New Roman"/>
                <w:color w:val="000000"/>
                <w:sz w:val="16"/>
                <w:szCs w:val="16"/>
                <w:lang w:val="en-US" w:eastAsia="ru-RU"/>
              </w:rPr>
              <w:t>mil</w:t>
            </w:r>
            <w:r w:rsidR="00CD4625" w:rsidRPr="005E43CE">
              <w:rPr>
                <w:rFonts w:ascii="Times New Roman" w:eastAsia="Calibri" w:hAnsi="Times New Roman" w:cs="Times New Roman"/>
                <w:color w:val="000000"/>
                <w:sz w:val="16"/>
                <w:szCs w:val="16"/>
                <w:lang w:eastAsia="ru-RU"/>
              </w:rPr>
              <w:t>.</w:t>
            </w:r>
            <w:r>
              <w:rPr>
                <w:rFonts w:ascii="Times New Roman" w:eastAsia="Calibri" w:hAnsi="Times New Roman" w:cs="Times New Roman"/>
                <w:color w:val="000000"/>
                <w:sz w:val="16"/>
                <w:szCs w:val="16"/>
                <w:lang w:val="en-US" w:eastAsia="ru-RU"/>
              </w:rPr>
              <w:t xml:space="preserve"> rub.</w:t>
            </w:r>
          </w:p>
        </w:tc>
        <w:tc>
          <w:tcPr>
            <w:tcW w:w="432" w:type="pct"/>
            <w:tcBorders>
              <w:top w:val="nil"/>
              <w:left w:val="nil"/>
              <w:bottom w:val="single" w:sz="4" w:space="0" w:color="auto"/>
              <w:right w:val="single" w:sz="4" w:space="0" w:color="auto"/>
            </w:tcBorders>
            <w:shd w:val="clear" w:color="auto" w:fill="auto"/>
            <w:vAlign w:val="center"/>
            <w:hideMark/>
          </w:tcPr>
          <w:p w14:paraId="2733B9EF"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2000295</w:t>
            </w:r>
          </w:p>
        </w:tc>
        <w:tc>
          <w:tcPr>
            <w:tcW w:w="433" w:type="pct"/>
            <w:tcBorders>
              <w:top w:val="nil"/>
              <w:left w:val="nil"/>
              <w:bottom w:val="single" w:sz="4" w:space="0" w:color="auto"/>
              <w:right w:val="single" w:sz="4" w:space="0" w:color="auto"/>
            </w:tcBorders>
            <w:shd w:val="clear" w:color="auto" w:fill="auto"/>
            <w:vAlign w:val="center"/>
            <w:hideMark/>
          </w:tcPr>
          <w:p w14:paraId="0670D57A"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2410989</w:t>
            </w:r>
          </w:p>
        </w:tc>
        <w:tc>
          <w:tcPr>
            <w:tcW w:w="431" w:type="pct"/>
            <w:tcBorders>
              <w:top w:val="nil"/>
              <w:left w:val="nil"/>
              <w:bottom w:val="single" w:sz="4" w:space="0" w:color="auto"/>
              <w:right w:val="single" w:sz="4" w:space="0" w:color="auto"/>
            </w:tcBorders>
            <w:shd w:val="clear" w:color="auto" w:fill="auto"/>
            <w:vAlign w:val="center"/>
            <w:hideMark/>
          </w:tcPr>
          <w:p w14:paraId="31BA6005"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2890065</w:t>
            </w:r>
          </w:p>
        </w:tc>
        <w:tc>
          <w:tcPr>
            <w:tcW w:w="364" w:type="pct"/>
            <w:tcBorders>
              <w:top w:val="nil"/>
              <w:left w:val="nil"/>
              <w:bottom w:val="single" w:sz="4" w:space="0" w:color="auto"/>
              <w:right w:val="single" w:sz="4" w:space="0" w:color="auto"/>
            </w:tcBorders>
            <w:shd w:val="clear" w:color="auto" w:fill="auto"/>
            <w:vAlign w:val="center"/>
            <w:hideMark/>
          </w:tcPr>
          <w:p w14:paraId="56026A38"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3090999</w:t>
            </w:r>
          </w:p>
        </w:tc>
        <w:tc>
          <w:tcPr>
            <w:tcW w:w="357" w:type="pct"/>
            <w:tcBorders>
              <w:top w:val="nil"/>
              <w:left w:val="nil"/>
              <w:bottom w:val="single" w:sz="4" w:space="0" w:color="auto"/>
              <w:right w:val="single" w:sz="4" w:space="0" w:color="auto"/>
            </w:tcBorders>
            <w:shd w:val="clear" w:color="auto" w:fill="auto"/>
            <w:vAlign w:val="center"/>
            <w:hideMark/>
          </w:tcPr>
          <w:p w14:paraId="35B1CE58"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3239564</w:t>
            </w:r>
          </w:p>
        </w:tc>
        <w:tc>
          <w:tcPr>
            <w:tcW w:w="357" w:type="pct"/>
            <w:tcBorders>
              <w:top w:val="nil"/>
              <w:left w:val="nil"/>
              <w:bottom w:val="single" w:sz="4" w:space="0" w:color="auto"/>
              <w:right w:val="single" w:sz="4" w:space="0" w:color="auto"/>
            </w:tcBorders>
            <w:shd w:val="clear" w:color="auto" w:fill="auto"/>
            <w:vAlign w:val="center"/>
            <w:hideMark/>
          </w:tcPr>
          <w:p w14:paraId="0145E44F"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3634851</w:t>
            </w:r>
          </w:p>
        </w:tc>
        <w:tc>
          <w:tcPr>
            <w:tcW w:w="357" w:type="pct"/>
            <w:tcBorders>
              <w:top w:val="nil"/>
              <w:left w:val="nil"/>
              <w:bottom w:val="single" w:sz="4" w:space="0" w:color="auto"/>
              <w:right w:val="single" w:sz="4" w:space="0" w:color="auto"/>
            </w:tcBorders>
            <w:shd w:val="clear" w:color="auto" w:fill="auto"/>
            <w:vAlign w:val="center"/>
            <w:hideMark/>
          </w:tcPr>
          <w:p w14:paraId="7154521C"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4033863</w:t>
            </w:r>
          </w:p>
        </w:tc>
        <w:tc>
          <w:tcPr>
            <w:tcW w:w="357" w:type="pct"/>
            <w:tcBorders>
              <w:top w:val="nil"/>
              <w:left w:val="nil"/>
              <w:bottom w:val="single" w:sz="4" w:space="0" w:color="auto"/>
              <w:right w:val="single" w:sz="4" w:space="0" w:color="auto"/>
            </w:tcBorders>
            <w:shd w:val="clear" w:color="auto" w:fill="auto"/>
            <w:vAlign w:val="center"/>
            <w:hideMark/>
          </w:tcPr>
          <w:p w14:paraId="4ADEEAD8"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4183642</w:t>
            </w:r>
          </w:p>
        </w:tc>
        <w:tc>
          <w:tcPr>
            <w:tcW w:w="357" w:type="pct"/>
            <w:tcBorders>
              <w:top w:val="nil"/>
              <w:left w:val="nil"/>
              <w:bottom w:val="single" w:sz="4" w:space="0" w:color="auto"/>
              <w:right w:val="single" w:sz="4" w:space="0" w:color="auto"/>
            </w:tcBorders>
            <w:shd w:val="clear" w:color="auto" w:fill="auto"/>
            <w:vAlign w:val="center"/>
            <w:hideMark/>
          </w:tcPr>
          <w:p w14:paraId="64E42A6C"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4363593</w:t>
            </w:r>
          </w:p>
        </w:tc>
        <w:tc>
          <w:tcPr>
            <w:tcW w:w="357" w:type="pct"/>
            <w:tcBorders>
              <w:top w:val="nil"/>
              <w:left w:val="nil"/>
              <w:bottom w:val="single" w:sz="4" w:space="0" w:color="auto"/>
              <w:right w:val="single" w:sz="4" w:space="0" w:color="auto"/>
            </w:tcBorders>
            <w:shd w:val="clear" w:color="auto" w:fill="auto"/>
            <w:vAlign w:val="center"/>
            <w:hideMark/>
          </w:tcPr>
          <w:p w14:paraId="203C55CA"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5204117</w:t>
            </w:r>
          </w:p>
        </w:tc>
        <w:tc>
          <w:tcPr>
            <w:tcW w:w="352" w:type="pct"/>
            <w:tcBorders>
              <w:top w:val="nil"/>
              <w:left w:val="nil"/>
              <w:bottom w:val="single" w:sz="4" w:space="0" w:color="auto"/>
              <w:right w:val="single" w:sz="4" w:space="0" w:color="auto"/>
            </w:tcBorders>
            <w:shd w:val="clear" w:color="auto" w:fill="auto"/>
            <w:vAlign w:val="center"/>
            <w:hideMark/>
          </w:tcPr>
          <w:p w14:paraId="45B3F715"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w:t>
            </w:r>
          </w:p>
        </w:tc>
      </w:tr>
      <w:tr w:rsidR="00CD4625" w:rsidRPr="00CD4625" w14:paraId="553CA22C" w14:textId="77777777" w:rsidTr="00914E32">
        <w:trPr>
          <w:trHeight w:val="20"/>
        </w:trPr>
        <w:tc>
          <w:tcPr>
            <w:tcW w:w="84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E4B57F8" w14:textId="758109FF" w:rsidR="00CD4625" w:rsidRPr="005E43CE" w:rsidRDefault="00544DCB" w:rsidP="00DD0041">
            <w:pPr>
              <w:spacing w:after="0" w:line="240" w:lineRule="auto"/>
              <w:rPr>
                <w:rFonts w:ascii="Times New Roman" w:eastAsia="Calibri" w:hAnsi="Times New Roman" w:cs="Times New Roman"/>
                <w:color w:val="000000"/>
                <w:sz w:val="16"/>
                <w:szCs w:val="16"/>
                <w:lang w:eastAsia="ru-RU"/>
              </w:rPr>
            </w:pPr>
            <w:r>
              <w:rPr>
                <w:rFonts w:ascii="Times New Roman" w:eastAsia="Calibri" w:hAnsi="Times New Roman" w:cs="Times New Roman"/>
                <w:color w:val="000000"/>
                <w:sz w:val="16"/>
                <w:szCs w:val="16"/>
                <w:lang w:val="en-US" w:eastAsia="ru-RU"/>
              </w:rPr>
              <w:t>Unemployment rate</w:t>
            </w:r>
            <w:r w:rsidR="00CD4625" w:rsidRPr="005E43CE">
              <w:rPr>
                <w:rFonts w:ascii="Times New Roman" w:eastAsia="Calibri" w:hAnsi="Times New Roman" w:cs="Times New Roman"/>
                <w:color w:val="000000"/>
                <w:sz w:val="16"/>
                <w:szCs w:val="16"/>
                <w:lang w:eastAsia="ru-RU"/>
              </w:rPr>
              <w:t>, %</w:t>
            </w:r>
          </w:p>
        </w:tc>
        <w:tc>
          <w:tcPr>
            <w:tcW w:w="432" w:type="pct"/>
            <w:tcBorders>
              <w:top w:val="nil"/>
              <w:left w:val="nil"/>
              <w:bottom w:val="single" w:sz="4" w:space="0" w:color="auto"/>
              <w:right w:val="single" w:sz="4" w:space="0" w:color="auto"/>
            </w:tcBorders>
            <w:shd w:val="clear" w:color="auto" w:fill="auto"/>
            <w:vAlign w:val="center"/>
            <w:hideMark/>
          </w:tcPr>
          <w:p w14:paraId="1B7A8BFA"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10</w:t>
            </w:r>
          </w:p>
        </w:tc>
        <w:tc>
          <w:tcPr>
            <w:tcW w:w="433" w:type="pct"/>
            <w:tcBorders>
              <w:top w:val="nil"/>
              <w:left w:val="nil"/>
              <w:bottom w:val="single" w:sz="4" w:space="0" w:color="auto"/>
              <w:right w:val="single" w:sz="4" w:space="0" w:color="auto"/>
            </w:tcBorders>
            <w:shd w:val="clear" w:color="auto" w:fill="auto"/>
            <w:vAlign w:val="center"/>
            <w:hideMark/>
          </w:tcPr>
          <w:p w14:paraId="4758C937"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9,1</w:t>
            </w:r>
          </w:p>
        </w:tc>
        <w:tc>
          <w:tcPr>
            <w:tcW w:w="431" w:type="pct"/>
            <w:tcBorders>
              <w:top w:val="nil"/>
              <w:left w:val="nil"/>
              <w:bottom w:val="single" w:sz="4" w:space="0" w:color="auto"/>
              <w:right w:val="single" w:sz="4" w:space="0" w:color="auto"/>
            </w:tcBorders>
            <w:shd w:val="clear" w:color="auto" w:fill="auto"/>
            <w:vAlign w:val="center"/>
            <w:hideMark/>
          </w:tcPr>
          <w:p w14:paraId="342C2330"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7,9</w:t>
            </w:r>
          </w:p>
        </w:tc>
        <w:tc>
          <w:tcPr>
            <w:tcW w:w="364" w:type="pct"/>
            <w:tcBorders>
              <w:top w:val="nil"/>
              <w:left w:val="nil"/>
              <w:bottom w:val="single" w:sz="4" w:space="0" w:color="auto"/>
              <w:right w:val="single" w:sz="4" w:space="0" w:color="auto"/>
            </w:tcBorders>
            <w:shd w:val="clear" w:color="auto" w:fill="auto"/>
            <w:vAlign w:val="center"/>
            <w:hideMark/>
          </w:tcPr>
          <w:p w14:paraId="1C4ECAF9"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7,3</w:t>
            </w:r>
          </w:p>
        </w:tc>
        <w:tc>
          <w:tcPr>
            <w:tcW w:w="357" w:type="pct"/>
            <w:tcBorders>
              <w:top w:val="nil"/>
              <w:left w:val="nil"/>
              <w:bottom w:val="single" w:sz="4" w:space="0" w:color="auto"/>
              <w:right w:val="single" w:sz="4" w:space="0" w:color="auto"/>
            </w:tcBorders>
            <w:shd w:val="clear" w:color="auto" w:fill="auto"/>
            <w:vAlign w:val="center"/>
            <w:hideMark/>
          </w:tcPr>
          <w:p w14:paraId="15CD6077"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7,1</w:t>
            </w:r>
          </w:p>
        </w:tc>
        <w:tc>
          <w:tcPr>
            <w:tcW w:w="357" w:type="pct"/>
            <w:tcBorders>
              <w:top w:val="nil"/>
              <w:left w:val="nil"/>
              <w:bottom w:val="single" w:sz="4" w:space="0" w:color="auto"/>
              <w:right w:val="single" w:sz="4" w:space="0" w:color="auto"/>
            </w:tcBorders>
            <w:shd w:val="clear" w:color="auto" w:fill="auto"/>
            <w:vAlign w:val="center"/>
            <w:hideMark/>
          </w:tcPr>
          <w:p w14:paraId="02FA7CF1"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7,1</w:t>
            </w:r>
          </w:p>
        </w:tc>
        <w:tc>
          <w:tcPr>
            <w:tcW w:w="357" w:type="pct"/>
            <w:tcBorders>
              <w:top w:val="nil"/>
              <w:left w:val="nil"/>
              <w:bottom w:val="single" w:sz="4" w:space="0" w:color="auto"/>
              <w:right w:val="single" w:sz="4" w:space="0" w:color="auto"/>
            </w:tcBorders>
            <w:shd w:val="clear" w:color="auto" w:fill="auto"/>
            <w:vAlign w:val="center"/>
            <w:hideMark/>
          </w:tcPr>
          <w:p w14:paraId="5E97D682"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7,1</w:t>
            </w:r>
          </w:p>
        </w:tc>
        <w:tc>
          <w:tcPr>
            <w:tcW w:w="357" w:type="pct"/>
            <w:tcBorders>
              <w:top w:val="nil"/>
              <w:left w:val="nil"/>
              <w:bottom w:val="single" w:sz="4" w:space="0" w:color="auto"/>
              <w:right w:val="single" w:sz="4" w:space="0" w:color="auto"/>
            </w:tcBorders>
            <w:shd w:val="clear" w:color="auto" w:fill="auto"/>
            <w:vAlign w:val="center"/>
            <w:hideMark/>
          </w:tcPr>
          <w:p w14:paraId="020D1279"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6,8</w:t>
            </w:r>
          </w:p>
        </w:tc>
        <w:tc>
          <w:tcPr>
            <w:tcW w:w="357" w:type="pct"/>
            <w:tcBorders>
              <w:top w:val="nil"/>
              <w:left w:val="nil"/>
              <w:bottom w:val="single" w:sz="4" w:space="0" w:color="auto"/>
              <w:right w:val="single" w:sz="4" w:space="0" w:color="auto"/>
            </w:tcBorders>
            <w:shd w:val="clear" w:color="auto" w:fill="auto"/>
            <w:vAlign w:val="center"/>
            <w:hideMark/>
          </w:tcPr>
          <w:p w14:paraId="4A8A5CE3"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6,7</w:t>
            </w:r>
          </w:p>
        </w:tc>
        <w:tc>
          <w:tcPr>
            <w:tcW w:w="357" w:type="pct"/>
            <w:tcBorders>
              <w:top w:val="nil"/>
              <w:left w:val="nil"/>
              <w:bottom w:val="single" w:sz="4" w:space="0" w:color="auto"/>
              <w:right w:val="single" w:sz="4" w:space="0" w:color="auto"/>
            </w:tcBorders>
            <w:shd w:val="clear" w:color="auto" w:fill="auto"/>
            <w:vAlign w:val="center"/>
            <w:hideMark/>
          </w:tcPr>
          <w:p w14:paraId="391A3B65"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6,3</w:t>
            </w:r>
          </w:p>
        </w:tc>
        <w:tc>
          <w:tcPr>
            <w:tcW w:w="352" w:type="pct"/>
            <w:tcBorders>
              <w:top w:val="nil"/>
              <w:left w:val="nil"/>
              <w:bottom w:val="single" w:sz="4" w:space="0" w:color="auto"/>
              <w:right w:val="single" w:sz="4" w:space="0" w:color="auto"/>
            </w:tcBorders>
            <w:shd w:val="clear" w:color="auto" w:fill="auto"/>
            <w:vAlign w:val="center"/>
            <w:hideMark/>
          </w:tcPr>
          <w:p w14:paraId="3E6574BF"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w:t>
            </w:r>
          </w:p>
        </w:tc>
      </w:tr>
      <w:tr w:rsidR="00CD4625" w:rsidRPr="00CD4625" w14:paraId="30D58453" w14:textId="77777777" w:rsidTr="00914E32">
        <w:trPr>
          <w:trHeight w:val="20"/>
        </w:trPr>
        <w:tc>
          <w:tcPr>
            <w:tcW w:w="84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2264336" w14:textId="5C60B35B" w:rsidR="00CD4625" w:rsidRPr="005E43CE" w:rsidRDefault="00544DCB" w:rsidP="00DD0041">
            <w:pPr>
              <w:spacing w:after="0" w:line="240" w:lineRule="auto"/>
              <w:rPr>
                <w:rFonts w:ascii="Times New Roman" w:eastAsia="Calibri" w:hAnsi="Times New Roman" w:cs="Times New Roman"/>
                <w:color w:val="000000"/>
                <w:sz w:val="16"/>
                <w:szCs w:val="16"/>
                <w:lang w:eastAsia="ru-RU"/>
              </w:rPr>
            </w:pPr>
            <w:r>
              <w:rPr>
                <w:rFonts w:ascii="Times New Roman" w:eastAsia="Calibri" w:hAnsi="Times New Roman" w:cs="Times New Roman"/>
                <w:color w:val="000000"/>
                <w:sz w:val="16"/>
                <w:szCs w:val="16"/>
                <w:lang w:val="en-US" w:eastAsia="ru-RU"/>
              </w:rPr>
              <w:t>Average salary</w:t>
            </w:r>
            <w:r w:rsidR="00CD4625" w:rsidRPr="005E43CE">
              <w:rPr>
                <w:rFonts w:ascii="Times New Roman" w:eastAsia="Calibri" w:hAnsi="Times New Roman" w:cs="Times New Roman"/>
                <w:color w:val="000000"/>
                <w:sz w:val="16"/>
                <w:szCs w:val="16"/>
                <w:lang w:eastAsia="ru-RU"/>
              </w:rPr>
              <w:t xml:space="preserve">, </w:t>
            </w:r>
            <w:r>
              <w:rPr>
                <w:rFonts w:ascii="Times New Roman" w:eastAsia="Calibri" w:hAnsi="Times New Roman" w:cs="Times New Roman"/>
                <w:color w:val="000000"/>
                <w:sz w:val="16"/>
                <w:szCs w:val="16"/>
                <w:lang w:val="en-US" w:eastAsia="ru-RU"/>
              </w:rPr>
              <w:t>rub</w:t>
            </w:r>
            <w:r w:rsidR="00CD4625" w:rsidRPr="005E43CE">
              <w:rPr>
                <w:rFonts w:ascii="Times New Roman" w:eastAsia="Calibri" w:hAnsi="Times New Roman" w:cs="Times New Roman"/>
                <w:color w:val="000000"/>
                <w:sz w:val="16"/>
                <w:szCs w:val="16"/>
                <w:lang w:eastAsia="ru-RU"/>
              </w:rPr>
              <w:t>.</w:t>
            </w:r>
          </w:p>
        </w:tc>
        <w:tc>
          <w:tcPr>
            <w:tcW w:w="432" w:type="pct"/>
            <w:tcBorders>
              <w:top w:val="nil"/>
              <w:left w:val="nil"/>
              <w:bottom w:val="single" w:sz="4" w:space="0" w:color="auto"/>
              <w:right w:val="single" w:sz="4" w:space="0" w:color="auto"/>
            </w:tcBorders>
            <w:shd w:val="clear" w:color="auto" w:fill="auto"/>
            <w:noWrap/>
            <w:vAlign w:val="center"/>
            <w:hideMark/>
          </w:tcPr>
          <w:p w14:paraId="60ED1E32"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23157,8</w:t>
            </w:r>
          </w:p>
        </w:tc>
        <w:tc>
          <w:tcPr>
            <w:tcW w:w="433" w:type="pct"/>
            <w:tcBorders>
              <w:top w:val="nil"/>
              <w:left w:val="nil"/>
              <w:bottom w:val="single" w:sz="4" w:space="0" w:color="auto"/>
              <w:right w:val="single" w:sz="4" w:space="0" w:color="auto"/>
            </w:tcBorders>
            <w:shd w:val="clear" w:color="auto" w:fill="auto"/>
            <w:noWrap/>
            <w:vAlign w:val="center"/>
            <w:hideMark/>
          </w:tcPr>
          <w:p w14:paraId="03AC4B1F"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25814,2</w:t>
            </w:r>
          </w:p>
        </w:tc>
        <w:tc>
          <w:tcPr>
            <w:tcW w:w="431" w:type="pct"/>
            <w:tcBorders>
              <w:top w:val="nil"/>
              <w:left w:val="nil"/>
              <w:bottom w:val="single" w:sz="4" w:space="0" w:color="auto"/>
              <w:right w:val="single" w:sz="4" w:space="0" w:color="auto"/>
            </w:tcBorders>
            <w:shd w:val="clear" w:color="auto" w:fill="auto"/>
            <w:noWrap/>
            <w:vAlign w:val="center"/>
            <w:hideMark/>
          </w:tcPr>
          <w:p w14:paraId="03CA8768"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29319,7</w:t>
            </w:r>
          </w:p>
        </w:tc>
        <w:tc>
          <w:tcPr>
            <w:tcW w:w="364" w:type="pct"/>
            <w:tcBorders>
              <w:top w:val="nil"/>
              <w:left w:val="nil"/>
              <w:bottom w:val="single" w:sz="4" w:space="0" w:color="auto"/>
              <w:right w:val="single" w:sz="4" w:space="0" w:color="auto"/>
            </w:tcBorders>
            <w:shd w:val="clear" w:color="auto" w:fill="auto"/>
            <w:noWrap/>
            <w:vAlign w:val="center"/>
            <w:hideMark/>
          </w:tcPr>
          <w:p w14:paraId="0BB95B87"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33584</w:t>
            </w:r>
          </w:p>
        </w:tc>
        <w:tc>
          <w:tcPr>
            <w:tcW w:w="357" w:type="pct"/>
            <w:tcBorders>
              <w:top w:val="nil"/>
              <w:left w:val="nil"/>
              <w:bottom w:val="single" w:sz="4" w:space="0" w:color="auto"/>
              <w:right w:val="single" w:sz="4" w:space="0" w:color="auto"/>
            </w:tcBorders>
            <w:shd w:val="clear" w:color="auto" w:fill="auto"/>
            <w:noWrap/>
            <w:vAlign w:val="center"/>
            <w:hideMark/>
          </w:tcPr>
          <w:p w14:paraId="60F90D1A"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37578,8</w:t>
            </w:r>
          </w:p>
        </w:tc>
        <w:tc>
          <w:tcPr>
            <w:tcW w:w="357" w:type="pct"/>
            <w:tcBorders>
              <w:top w:val="nil"/>
              <w:left w:val="nil"/>
              <w:bottom w:val="single" w:sz="4" w:space="0" w:color="auto"/>
              <w:right w:val="single" w:sz="4" w:space="0" w:color="auto"/>
            </w:tcBorders>
            <w:shd w:val="clear" w:color="auto" w:fill="auto"/>
            <w:noWrap/>
            <w:vAlign w:val="center"/>
            <w:hideMark/>
          </w:tcPr>
          <w:p w14:paraId="4D788E17"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40875,7</w:t>
            </w:r>
          </w:p>
        </w:tc>
        <w:tc>
          <w:tcPr>
            <w:tcW w:w="357" w:type="pct"/>
            <w:tcBorders>
              <w:top w:val="nil"/>
              <w:left w:val="nil"/>
              <w:bottom w:val="single" w:sz="4" w:space="0" w:color="auto"/>
              <w:right w:val="single" w:sz="4" w:space="0" w:color="auto"/>
            </w:tcBorders>
            <w:shd w:val="clear" w:color="auto" w:fill="auto"/>
            <w:noWrap/>
            <w:vAlign w:val="center"/>
            <w:hideMark/>
          </w:tcPr>
          <w:p w14:paraId="24EFD48F"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43163,5</w:t>
            </w:r>
          </w:p>
        </w:tc>
        <w:tc>
          <w:tcPr>
            <w:tcW w:w="357" w:type="pct"/>
            <w:tcBorders>
              <w:top w:val="nil"/>
              <w:left w:val="nil"/>
              <w:bottom w:val="single" w:sz="4" w:space="0" w:color="auto"/>
              <w:right w:val="single" w:sz="4" w:space="0" w:color="auto"/>
            </w:tcBorders>
            <w:shd w:val="clear" w:color="auto" w:fill="auto"/>
            <w:noWrap/>
            <w:vAlign w:val="center"/>
            <w:hideMark/>
          </w:tcPr>
          <w:p w14:paraId="1FBA4160"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45786,4</w:t>
            </w:r>
          </w:p>
        </w:tc>
        <w:tc>
          <w:tcPr>
            <w:tcW w:w="357" w:type="pct"/>
            <w:tcBorders>
              <w:top w:val="nil"/>
              <w:left w:val="nil"/>
              <w:bottom w:val="single" w:sz="4" w:space="0" w:color="auto"/>
              <w:right w:val="single" w:sz="4" w:space="0" w:color="auto"/>
            </w:tcBorders>
            <w:shd w:val="clear" w:color="auto" w:fill="auto"/>
            <w:noWrap/>
            <w:vAlign w:val="center"/>
            <w:hideMark/>
          </w:tcPr>
          <w:p w14:paraId="476AC808"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48952,4</w:t>
            </w:r>
          </w:p>
        </w:tc>
        <w:tc>
          <w:tcPr>
            <w:tcW w:w="357" w:type="pct"/>
            <w:tcBorders>
              <w:top w:val="nil"/>
              <w:left w:val="nil"/>
              <w:bottom w:val="single" w:sz="4" w:space="0" w:color="auto"/>
              <w:right w:val="single" w:sz="4" w:space="0" w:color="auto"/>
            </w:tcBorders>
            <w:shd w:val="clear" w:color="auto" w:fill="auto"/>
            <w:noWrap/>
            <w:vAlign w:val="center"/>
            <w:hideMark/>
          </w:tcPr>
          <w:p w14:paraId="6688B1AC"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51667</w:t>
            </w:r>
          </w:p>
        </w:tc>
        <w:tc>
          <w:tcPr>
            <w:tcW w:w="352" w:type="pct"/>
            <w:tcBorders>
              <w:top w:val="nil"/>
              <w:left w:val="nil"/>
              <w:bottom w:val="single" w:sz="4" w:space="0" w:color="auto"/>
              <w:right w:val="single" w:sz="4" w:space="0" w:color="auto"/>
            </w:tcBorders>
            <w:shd w:val="clear" w:color="auto" w:fill="auto"/>
            <w:noWrap/>
            <w:vAlign w:val="center"/>
            <w:hideMark/>
          </w:tcPr>
          <w:p w14:paraId="2514FA5D"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54635</w:t>
            </w:r>
          </w:p>
        </w:tc>
      </w:tr>
      <w:tr w:rsidR="00CD4625" w:rsidRPr="00CD4625" w14:paraId="47F60C99" w14:textId="77777777" w:rsidTr="00914E32">
        <w:trPr>
          <w:trHeight w:val="20"/>
        </w:trPr>
        <w:tc>
          <w:tcPr>
            <w:tcW w:w="84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A422305" w14:textId="02118E16" w:rsidR="00CD4625" w:rsidRPr="00544DCB" w:rsidRDefault="00544DCB" w:rsidP="00DD0041">
            <w:pPr>
              <w:spacing w:after="0" w:line="240" w:lineRule="auto"/>
              <w:rPr>
                <w:rFonts w:ascii="Times New Roman" w:eastAsia="Calibri" w:hAnsi="Times New Roman" w:cs="Times New Roman"/>
                <w:color w:val="000000"/>
                <w:sz w:val="16"/>
                <w:szCs w:val="16"/>
                <w:lang w:val="en-US" w:eastAsia="ru-RU"/>
              </w:rPr>
            </w:pPr>
            <w:r>
              <w:rPr>
                <w:rFonts w:ascii="Times New Roman" w:eastAsia="Calibri" w:hAnsi="Times New Roman" w:cs="Times New Roman"/>
                <w:color w:val="000000"/>
                <w:sz w:val="16"/>
                <w:szCs w:val="16"/>
                <w:lang w:val="en-US" w:eastAsia="ru-RU"/>
              </w:rPr>
              <w:t>Life expectancy</w:t>
            </w:r>
            <w:r w:rsidR="00CD4625" w:rsidRPr="005E43CE">
              <w:rPr>
                <w:rFonts w:ascii="Times New Roman" w:eastAsia="Calibri" w:hAnsi="Times New Roman" w:cs="Times New Roman"/>
                <w:color w:val="000000"/>
                <w:sz w:val="16"/>
                <w:szCs w:val="16"/>
                <w:lang w:eastAsia="ru-RU"/>
              </w:rPr>
              <w:t xml:space="preserve">, </w:t>
            </w:r>
            <w:r>
              <w:rPr>
                <w:rFonts w:ascii="Times New Roman" w:eastAsia="Calibri" w:hAnsi="Times New Roman" w:cs="Times New Roman"/>
                <w:color w:val="000000"/>
                <w:sz w:val="16"/>
                <w:szCs w:val="16"/>
                <w:lang w:val="en-US" w:eastAsia="ru-RU"/>
              </w:rPr>
              <w:t>years</w:t>
            </w:r>
          </w:p>
        </w:tc>
        <w:tc>
          <w:tcPr>
            <w:tcW w:w="432" w:type="pct"/>
            <w:tcBorders>
              <w:top w:val="nil"/>
              <w:left w:val="nil"/>
              <w:bottom w:val="single" w:sz="4" w:space="0" w:color="auto"/>
              <w:right w:val="single" w:sz="4" w:space="0" w:color="auto"/>
            </w:tcBorders>
            <w:shd w:val="clear" w:color="auto" w:fill="auto"/>
            <w:vAlign w:val="center"/>
            <w:hideMark/>
          </w:tcPr>
          <w:p w14:paraId="26463981"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65,9</w:t>
            </w:r>
          </w:p>
        </w:tc>
        <w:tc>
          <w:tcPr>
            <w:tcW w:w="433" w:type="pct"/>
            <w:tcBorders>
              <w:top w:val="nil"/>
              <w:left w:val="nil"/>
              <w:bottom w:val="single" w:sz="4" w:space="0" w:color="auto"/>
              <w:right w:val="single" w:sz="4" w:space="0" w:color="auto"/>
            </w:tcBorders>
            <w:shd w:val="clear" w:color="auto" w:fill="auto"/>
            <w:vAlign w:val="center"/>
            <w:hideMark/>
          </w:tcPr>
          <w:p w14:paraId="6F18D6AA"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65,8</w:t>
            </w:r>
          </w:p>
        </w:tc>
        <w:tc>
          <w:tcPr>
            <w:tcW w:w="431" w:type="pct"/>
            <w:tcBorders>
              <w:top w:val="nil"/>
              <w:left w:val="nil"/>
              <w:bottom w:val="single" w:sz="4" w:space="0" w:color="auto"/>
              <w:right w:val="single" w:sz="4" w:space="0" w:color="auto"/>
            </w:tcBorders>
            <w:shd w:val="clear" w:color="auto" w:fill="auto"/>
            <w:vAlign w:val="center"/>
            <w:hideMark/>
          </w:tcPr>
          <w:p w14:paraId="26F01891"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66,4</w:t>
            </w:r>
          </w:p>
        </w:tc>
        <w:tc>
          <w:tcPr>
            <w:tcW w:w="364" w:type="pct"/>
            <w:tcBorders>
              <w:top w:val="nil"/>
              <w:left w:val="nil"/>
              <w:bottom w:val="single" w:sz="4" w:space="0" w:color="auto"/>
              <w:right w:val="single" w:sz="4" w:space="0" w:color="auto"/>
            </w:tcBorders>
            <w:shd w:val="clear" w:color="auto" w:fill="auto"/>
            <w:vAlign w:val="center"/>
            <w:hideMark/>
          </w:tcPr>
          <w:p w14:paraId="63EB403A"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67</w:t>
            </w:r>
          </w:p>
        </w:tc>
        <w:tc>
          <w:tcPr>
            <w:tcW w:w="357" w:type="pct"/>
            <w:tcBorders>
              <w:top w:val="nil"/>
              <w:left w:val="nil"/>
              <w:bottom w:val="single" w:sz="4" w:space="0" w:color="auto"/>
              <w:right w:val="single" w:sz="4" w:space="0" w:color="auto"/>
            </w:tcBorders>
            <w:shd w:val="clear" w:color="auto" w:fill="auto"/>
            <w:vAlign w:val="center"/>
            <w:hideMark/>
          </w:tcPr>
          <w:p w14:paraId="530BCAD5"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67,8</w:t>
            </w:r>
          </w:p>
        </w:tc>
        <w:tc>
          <w:tcPr>
            <w:tcW w:w="357" w:type="pct"/>
            <w:tcBorders>
              <w:top w:val="nil"/>
              <w:left w:val="nil"/>
              <w:bottom w:val="single" w:sz="4" w:space="0" w:color="auto"/>
              <w:right w:val="single" w:sz="4" w:space="0" w:color="auto"/>
            </w:tcBorders>
            <w:shd w:val="clear" w:color="auto" w:fill="auto"/>
            <w:vAlign w:val="center"/>
            <w:hideMark/>
          </w:tcPr>
          <w:p w14:paraId="06713E73"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66,5</w:t>
            </w:r>
          </w:p>
        </w:tc>
        <w:tc>
          <w:tcPr>
            <w:tcW w:w="357" w:type="pct"/>
            <w:tcBorders>
              <w:top w:val="nil"/>
              <w:left w:val="nil"/>
              <w:bottom w:val="single" w:sz="4" w:space="0" w:color="auto"/>
              <w:right w:val="single" w:sz="4" w:space="0" w:color="auto"/>
            </w:tcBorders>
            <w:shd w:val="clear" w:color="auto" w:fill="auto"/>
            <w:vAlign w:val="center"/>
            <w:hideMark/>
          </w:tcPr>
          <w:p w14:paraId="417578ED"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67,2</w:t>
            </w:r>
          </w:p>
        </w:tc>
        <w:tc>
          <w:tcPr>
            <w:tcW w:w="357" w:type="pct"/>
            <w:tcBorders>
              <w:top w:val="nil"/>
              <w:left w:val="nil"/>
              <w:bottom w:val="single" w:sz="4" w:space="0" w:color="auto"/>
              <w:right w:val="single" w:sz="4" w:space="0" w:color="auto"/>
            </w:tcBorders>
            <w:shd w:val="clear" w:color="auto" w:fill="auto"/>
            <w:vAlign w:val="center"/>
            <w:hideMark/>
          </w:tcPr>
          <w:p w14:paraId="52ACE9F3"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67,3</w:t>
            </w:r>
          </w:p>
        </w:tc>
        <w:tc>
          <w:tcPr>
            <w:tcW w:w="357" w:type="pct"/>
            <w:tcBorders>
              <w:top w:val="nil"/>
              <w:left w:val="nil"/>
              <w:bottom w:val="single" w:sz="4" w:space="0" w:color="auto"/>
              <w:right w:val="single" w:sz="4" w:space="0" w:color="auto"/>
            </w:tcBorders>
            <w:shd w:val="clear" w:color="auto" w:fill="auto"/>
            <w:vAlign w:val="center"/>
            <w:hideMark/>
          </w:tcPr>
          <w:p w14:paraId="4E97DE8D"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66</w:t>
            </w:r>
          </w:p>
        </w:tc>
        <w:tc>
          <w:tcPr>
            <w:tcW w:w="357" w:type="pct"/>
            <w:tcBorders>
              <w:top w:val="nil"/>
              <w:left w:val="nil"/>
              <w:bottom w:val="single" w:sz="4" w:space="0" w:color="auto"/>
              <w:right w:val="single" w:sz="4" w:space="0" w:color="auto"/>
            </w:tcBorders>
            <w:shd w:val="clear" w:color="auto" w:fill="auto"/>
            <w:vAlign w:val="center"/>
            <w:hideMark/>
          </w:tcPr>
          <w:p w14:paraId="3341A7CE"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66,8</w:t>
            </w:r>
          </w:p>
        </w:tc>
        <w:tc>
          <w:tcPr>
            <w:tcW w:w="352" w:type="pct"/>
            <w:tcBorders>
              <w:top w:val="nil"/>
              <w:left w:val="nil"/>
              <w:bottom w:val="single" w:sz="4" w:space="0" w:color="auto"/>
              <w:right w:val="single" w:sz="4" w:space="0" w:color="auto"/>
            </w:tcBorders>
            <w:shd w:val="clear" w:color="auto" w:fill="auto"/>
            <w:vAlign w:val="center"/>
            <w:hideMark/>
          </w:tcPr>
          <w:p w14:paraId="78CF68D8" w14:textId="77777777" w:rsidR="00CD4625" w:rsidRPr="005E43CE" w:rsidRDefault="00CD4625" w:rsidP="00DD0041">
            <w:pPr>
              <w:spacing w:after="0" w:line="240" w:lineRule="auto"/>
              <w:jc w:val="center"/>
              <w:rPr>
                <w:rFonts w:ascii="Times New Roman" w:eastAsia="Calibri" w:hAnsi="Times New Roman" w:cs="Times New Roman"/>
                <w:color w:val="000000"/>
                <w:sz w:val="16"/>
                <w:szCs w:val="16"/>
                <w:lang w:eastAsia="ru-RU"/>
              </w:rPr>
            </w:pPr>
            <w:r w:rsidRPr="005E43CE">
              <w:rPr>
                <w:rFonts w:ascii="Times New Roman" w:eastAsia="Calibri" w:hAnsi="Times New Roman" w:cs="Times New Roman"/>
                <w:color w:val="000000"/>
                <w:sz w:val="16"/>
                <w:szCs w:val="16"/>
                <w:lang w:eastAsia="ru-RU"/>
              </w:rPr>
              <w:t>67,1</w:t>
            </w:r>
          </w:p>
        </w:tc>
      </w:tr>
    </w:tbl>
    <w:p w14:paraId="454E133D" w14:textId="25F526D9" w:rsidR="00CD4625" w:rsidRPr="00914E32" w:rsidRDefault="00914E32" w:rsidP="00CD4625">
      <w:pPr>
        <w:widowControl w:val="0"/>
        <w:spacing w:after="0" w:line="240" w:lineRule="auto"/>
        <w:ind w:firstLine="709"/>
        <w:jc w:val="both"/>
        <w:rPr>
          <w:rFonts w:ascii="Times New Roman" w:eastAsia="Calibri" w:hAnsi="Times New Roman" w:cs="Times New Roman"/>
          <w:sz w:val="24"/>
          <w:szCs w:val="24"/>
          <w:lang w:val="en-US"/>
        </w:rPr>
      </w:pPr>
      <w:r w:rsidRPr="00914E32">
        <w:rPr>
          <w:rFonts w:ascii="Times New Roman" w:eastAsia="Calibri" w:hAnsi="Times New Roman" w:cs="Times New Roman"/>
          <w:sz w:val="24"/>
          <w:szCs w:val="24"/>
          <w:lang w:val="en-US"/>
        </w:rPr>
        <w:t>The statistics on marital status and GRP have not yet been presented by statistics bodies currently. Based on the data in Table 1, we will analyze the relationship, and calculate the correlation coefficient (the data in Table 2). The coefficient is calculated based on the dynamics of indicators for an equal period (that is, if there is a comparison with the indicators for marital status and GRP, we take the period up to 2018 inclusive)</w:t>
      </w:r>
      <w:r w:rsidR="00CD4625" w:rsidRPr="00914E32">
        <w:rPr>
          <w:rFonts w:ascii="Times New Roman" w:eastAsia="Calibri" w:hAnsi="Times New Roman" w:cs="Times New Roman"/>
          <w:sz w:val="24"/>
          <w:szCs w:val="24"/>
          <w:lang w:val="en-US"/>
        </w:rPr>
        <w:t xml:space="preserve">. </w:t>
      </w:r>
    </w:p>
    <w:p w14:paraId="5F44D3D7" w14:textId="77777777" w:rsidR="00CD4625" w:rsidRPr="00914E32" w:rsidRDefault="00CD4625" w:rsidP="00CD4625">
      <w:pPr>
        <w:widowControl w:val="0"/>
        <w:spacing w:after="0" w:line="240" w:lineRule="auto"/>
        <w:jc w:val="both"/>
        <w:rPr>
          <w:rFonts w:ascii="Times New Roman" w:hAnsi="Times New Roman"/>
          <w:sz w:val="24"/>
          <w:szCs w:val="24"/>
          <w:lang w:val="en-US"/>
        </w:rPr>
      </w:pPr>
    </w:p>
    <w:p w14:paraId="6E7FC049" w14:textId="53E72E6A" w:rsidR="00CD4625" w:rsidRPr="00914E32" w:rsidRDefault="00914E32" w:rsidP="00CD4625">
      <w:pPr>
        <w:widowControl w:val="0"/>
        <w:spacing w:after="0" w:line="240" w:lineRule="auto"/>
        <w:jc w:val="both"/>
        <w:rPr>
          <w:rFonts w:ascii="Times New Roman" w:hAnsi="Times New Roman"/>
          <w:sz w:val="24"/>
          <w:szCs w:val="24"/>
          <w:lang w:val="en-US"/>
        </w:rPr>
      </w:pPr>
      <w:r w:rsidRPr="00914E32">
        <w:rPr>
          <w:rFonts w:ascii="Times New Roman" w:hAnsi="Times New Roman"/>
          <w:sz w:val="24"/>
          <w:szCs w:val="24"/>
          <w:lang w:val="en-US"/>
        </w:rPr>
        <w:t>Table 2 - Correlation dependence between the indicators characterizing the level of human capital development and the territory competitiveness (fragment, the indicators characterizing the greatest dependence)</w:t>
      </w:r>
    </w:p>
    <w:tbl>
      <w:tblPr>
        <w:tblW w:w="4891" w:type="pct"/>
        <w:tblInd w:w="108" w:type="dxa"/>
        <w:tblLook w:val="04A0" w:firstRow="1" w:lastRow="0" w:firstColumn="1" w:lastColumn="0" w:noHBand="0" w:noVBand="1"/>
      </w:tblPr>
      <w:tblGrid>
        <w:gridCol w:w="360"/>
        <w:gridCol w:w="7039"/>
        <w:gridCol w:w="2019"/>
      </w:tblGrid>
      <w:tr w:rsidR="00CD4625" w:rsidRPr="00517205" w14:paraId="51D59C32" w14:textId="77777777" w:rsidTr="00CD4625">
        <w:trPr>
          <w:trHeight w:val="600"/>
        </w:trPr>
        <w:tc>
          <w:tcPr>
            <w:tcW w:w="3928"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600A0EA" w14:textId="08E671A0" w:rsidR="00CD4625" w:rsidRPr="00813464" w:rsidRDefault="00813464" w:rsidP="00DD0041">
            <w:pPr>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Compared indicators</w:t>
            </w:r>
          </w:p>
        </w:tc>
        <w:tc>
          <w:tcPr>
            <w:tcW w:w="1072" w:type="pct"/>
            <w:tcBorders>
              <w:top w:val="single" w:sz="4" w:space="0" w:color="auto"/>
              <w:left w:val="nil"/>
              <w:bottom w:val="single" w:sz="4" w:space="0" w:color="auto"/>
              <w:right w:val="single" w:sz="4" w:space="0" w:color="auto"/>
            </w:tcBorders>
            <w:shd w:val="clear" w:color="auto" w:fill="auto"/>
            <w:vAlign w:val="center"/>
            <w:hideMark/>
          </w:tcPr>
          <w:p w14:paraId="5129F62A" w14:textId="325860EA" w:rsidR="00CD4625" w:rsidRPr="00813464" w:rsidRDefault="00813464" w:rsidP="00DD0041">
            <w:pPr>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Correlation ratio</w:t>
            </w:r>
          </w:p>
        </w:tc>
      </w:tr>
      <w:tr w:rsidR="00CD4625" w:rsidRPr="00517205" w14:paraId="4B7D39B9" w14:textId="77777777" w:rsidTr="00CD4625">
        <w:trPr>
          <w:trHeight w:val="300"/>
        </w:trPr>
        <w:tc>
          <w:tcPr>
            <w:tcW w:w="191" w:type="pct"/>
            <w:tcBorders>
              <w:top w:val="nil"/>
              <w:left w:val="single" w:sz="4" w:space="0" w:color="auto"/>
              <w:bottom w:val="single" w:sz="4" w:space="0" w:color="auto"/>
              <w:right w:val="single" w:sz="4" w:space="0" w:color="auto"/>
            </w:tcBorders>
            <w:shd w:val="clear" w:color="auto" w:fill="auto"/>
            <w:noWrap/>
            <w:vAlign w:val="bottom"/>
            <w:hideMark/>
          </w:tcPr>
          <w:p w14:paraId="0AD61C6F" w14:textId="77777777" w:rsidR="00CD4625" w:rsidRPr="00517205" w:rsidRDefault="00CD4625" w:rsidP="00DD0041">
            <w:pPr>
              <w:spacing w:after="0" w:line="240" w:lineRule="auto"/>
              <w:jc w:val="right"/>
              <w:rPr>
                <w:rFonts w:ascii="Times New Roman" w:hAnsi="Times New Roman"/>
                <w:bCs/>
                <w:color w:val="000000"/>
                <w:sz w:val="20"/>
                <w:szCs w:val="20"/>
                <w:lang w:eastAsia="ru-RU"/>
              </w:rPr>
            </w:pPr>
            <w:r w:rsidRPr="00517205">
              <w:rPr>
                <w:rFonts w:ascii="Times New Roman" w:hAnsi="Times New Roman"/>
                <w:bCs/>
                <w:color w:val="000000"/>
                <w:sz w:val="20"/>
                <w:szCs w:val="20"/>
                <w:lang w:eastAsia="ru-RU"/>
              </w:rPr>
              <w:t>1</w:t>
            </w:r>
          </w:p>
        </w:tc>
        <w:tc>
          <w:tcPr>
            <w:tcW w:w="3737" w:type="pct"/>
            <w:tcBorders>
              <w:top w:val="nil"/>
              <w:left w:val="nil"/>
              <w:bottom w:val="single" w:sz="4" w:space="0" w:color="auto"/>
              <w:right w:val="single" w:sz="4" w:space="0" w:color="auto"/>
            </w:tcBorders>
            <w:shd w:val="clear" w:color="auto" w:fill="auto"/>
            <w:noWrap/>
            <w:vAlign w:val="bottom"/>
            <w:hideMark/>
          </w:tcPr>
          <w:p w14:paraId="530D81E0" w14:textId="3F5CD741" w:rsidR="00CD4625" w:rsidRPr="00517205" w:rsidRDefault="00C457D4" w:rsidP="00DD0041">
            <w:pPr>
              <w:spacing w:after="0" w:line="240" w:lineRule="auto"/>
              <w:rPr>
                <w:rFonts w:ascii="Times New Roman" w:hAnsi="Times New Roman"/>
                <w:color w:val="000000"/>
                <w:sz w:val="20"/>
                <w:szCs w:val="20"/>
                <w:lang w:eastAsia="ru-RU"/>
              </w:rPr>
            </w:pPr>
            <w:proofErr w:type="spellStart"/>
            <w:r w:rsidRPr="00C457D4">
              <w:rPr>
                <w:rFonts w:ascii="Times New Roman" w:hAnsi="Times New Roman"/>
                <w:color w:val="000000"/>
                <w:sz w:val="20"/>
                <w:szCs w:val="20"/>
                <w:lang w:eastAsia="ru-RU"/>
              </w:rPr>
              <w:t>Number</w:t>
            </w:r>
            <w:proofErr w:type="spellEnd"/>
            <w:r w:rsidRPr="00C457D4">
              <w:rPr>
                <w:rFonts w:ascii="Times New Roman" w:hAnsi="Times New Roman"/>
                <w:color w:val="000000"/>
                <w:sz w:val="20"/>
                <w:szCs w:val="20"/>
                <w:lang w:eastAsia="ru-RU"/>
              </w:rPr>
              <w:t xml:space="preserve"> </w:t>
            </w:r>
            <w:proofErr w:type="spellStart"/>
            <w:r w:rsidRPr="00C457D4">
              <w:rPr>
                <w:rFonts w:ascii="Times New Roman" w:hAnsi="Times New Roman"/>
                <w:color w:val="000000"/>
                <w:sz w:val="20"/>
                <w:szCs w:val="20"/>
                <w:lang w:eastAsia="ru-RU"/>
              </w:rPr>
              <w:t>and</w:t>
            </w:r>
            <w:proofErr w:type="spellEnd"/>
            <w:r w:rsidRPr="00C457D4">
              <w:rPr>
                <w:rFonts w:ascii="Times New Roman" w:hAnsi="Times New Roman"/>
                <w:color w:val="000000"/>
                <w:sz w:val="20"/>
                <w:szCs w:val="20"/>
                <w:lang w:eastAsia="ru-RU"/>
              </w:rPr>
              <w:t xml:space="preserve"> GRP</w:t>
            </w:r>
          </w:p>
        </w:tc>
        <w:tc>
          <w:tcPr>
            <w:tcW w:w="1072" w:type="pct"/>
            <w:tcBorders>
              <w:top w:val="nil"/>
              <w:left w:val="nil"/>
              <w:bottom w:val="single" w:sz="4" w:space="0" w:color="auto"/>
              <w:right w:val="single" w:sz="4" w:space="0" w:color="auto"/>
            </w:tcBorders>
            <w:shd w:val="clear" w:color="auto" w:fill="auto"/>
            <w:noWrap/>
            <w:vAlign w:val="bottom"/>
            <w:hideMark/>
          </w:tcPr>
          <w:p w14:paraId="483C4704" w14:textId="77777777" w:rsidR="00CD4625" w:rsidRPr="00517205" w:rsidRDefault="00CD4625" w:rsidP="00DD0041">
            <w:pPr>
              <w:spacing w:after="0" w:line="240" w:lineRule="auto"/>
              <w:jc w:val="center"/>
              <w:rPr>
                <w:rFonts w:ascii="Times New Roman" w:hAnsi="Times New Roman"/>
                <w:color w:val="000000"/>
                <w:sz w:val="20"/>
                <w:szCs w:val="20"/>
                <w:lang w:eastAsia="ru-RU"/>
              </w:rPr>
            </w:pPr>
            <w:r w:rsidRPr="00517205">
              <w:rPr>
                <w:rFonts w:ascii="Times New Roman" w:hAnsi="Times New Roman"/>
                <w:color w:val="000000"/>
                <w:sz w:val="20"/>
                <w:szCs w:val="20"/>
                <w:lang w:eastAsia="ru-RU"/>
              </w:rPr>
              <w:t>-0,921359574</w:t>
            </w:r>
          </w:p>
        </w:tc>
      </w:tr>
      <w:tr w:rsidR="00CD4625" w:rsidRPr="00517205" w14:paraId="0831056C" w14:textId="77777777" w:rsidTr="00CD4625">
        <w:trPr>
          <w:trHeight w:val="300"/>
        </w:trPr>
        <w:tc>
          <w:tcPr>
            <w:tcW w:w="191" w:type="pct"/>
            <w:tcBorders>
              <w:top w:val="nil"/>
              <w:left w:val="single" w:sz="4" w:space="0" w:color="auto"/>
              <w:bottom w:val="single" w:sz="4" w:space="0" w:color="auto"/>
              <w:right w:val="single" w:sz="4" w:space="0" w:color="auto"/>
            </w:tcBorders>
            <w:shd w:val="clear" w:color="auto" w:fill="auto"/>
            <w:noWrap/>
            <w:vAlign w:val="bottom"/>
            <w:hideMark/>
          </w:tcPr>
          <w:p w14:paraId="1E1C3CCF" w14:textId="77777777" w:rsidR="00CD4625" w:rsidRPr="00517205" w:rsidRDefault="00CD4625" w:rsidP="00DD0041">
            <w:pPr>
              <w:spacing w:after="0" w:line="240" w:lineRule="auto"/>
              <w:jc w:val="right"/>
              <w:rPr>
                <w:rFonts w:ascii="Times New Roman" w:hAnsi="Times New Roman"/>
                <w:bCs/>
                <w:color w:val="000000"/>
                <w:sz w:val="20"/>
                <w:szCs w:val="20"/>
                <w:lang w:eastAsia="ru-RU"/>
              </w:rPr>
            </w:pPr>
            <w:r w:rsidRPr="00517205">
              <w:rPr>
                <w:rFonts w:ascii="Times New Roman" w:hAnsi="Times New Roman"/>
                <w:bCs/>
                <w:color w:val="000000"/>
                <w:sz w:val="20"/>
                <w:szCs w:val="20"/>
                <w:lang w:eastAsia="ru-RU"/>
              </w:rPr>
              <w:t>2</w:t>
            </w:r>
          </w:p>
        </w:tc>
        <w:tc>
          <w:tcPr>
            <w:tcW w:w="3737" w:type="pct"/>
            <w:tcBorders>
              <w:top w:val="nil"/>
              <w:left w:val="nil"/>
              <w:bottom w:val="single" w:sz="4" w:space="0" w:color="auto"/>
              <w:right w:val="single" w:sz="4" w:space="0" w:color="auto"/>
            </w:tcBorders>
            <w:shd w:val="clear" w:color="auto" w:fill="auto"/>
            <w:noWrap/>
            <w:vAlign w:val="bottom"/>
            <w:hideMark/>
          </w:tcPr>
          <w:p w14:paraId="3C55996E" w14:textId="183A66BA" w:rsidR="00CD4625" w:rsidRPr="00C457D4" w:rsidRDefault="00C457D4" w:rsidP="00DD0041">
            <w:pPr>
              <w:spacing w:after="0" w:line="240" w:lineRule="auto"/>
              <w:rPr>
                <w:rFonts w:ascii="Times New Roman" w:hAnsi="Times New Roman"/>
                <w:color w:val="000000"/>
                <w:sz w:val="20"/>
                <w:szCs w:val="20"/>
                <w:lang w:val="en-US" w:eastAsia="ru-RU"/>
              </w:rPr>
            </w:pPr>
            <w:r w:rsidRPr="00C457D4">
              <w:rPr>
                <w:rFonts w:ascii="Times New Roman" w:hAnsi="Times New Roman"/>
                <w:color w:val="000000"/>
                <w:sz w:val="20"/>
                <w:szCs w:val="20"/>
                <w:lang w:val="en-US" w:eastAsia="ru-RU"/>
              </w:rPr>
              <w:t xml:space="preserve">Disabled population </w:t>
            </w:r>
            <w:r>
              <w:rPr>
                <w:rFonts w:ascii="Times New Roman" w:hAnsi="Times New Roman"/>
                <w:color w:val="000000"/>
                <w:sz w:val="20"/>
                <w:szCs w:val="20"/>
                <w:lang w:val="en-US" w:eastAsia="ru-RU"/>
              </w:rPr>
              <w:t xml:space="preserve">amount </w:t>
            </w:r>
            <w:r w:rsidRPr="00C457D4">
              <w:rPr>
                <w:rFonts w:ascii="Times New Roman" w:hAnsi="Times New Roman"/>
                <w:color w:val="000000"/>
                <w:sz w:val="20"/>
                <w:szCs w:val="20"/>
                <w:lang w:val="en-US" w:eastAsia="ru-RU"/>
              </w:rPr>
              <w:t>and GRP</w:t>
            </w:r>
          </w:p>
        </w:tc>
        <w:tc>
          <w:tcPr>
            <w:tcW w:w="1072" w:type="pct"/>
            <w:tcBorders>
              <w:top w:val="nil"/>
              <w:left w:val="nil"/>
              <w:bottom w:val="single" w:sz="4" w:space="0" w:color="auto"/>
              <w:right w:val="single" w:sz="4" w:space="0" w:color="auto"/>
            </w:tcBorders>
            <w:shd w:val="clear" w:color="auto" w:fill="auto"/>
            <w:noWrap/>
            <w:vAlign w:val="bottom"/>
            <w:hideMark/>
          </w:tcPr>
          <w:p w14:paraId="3AEBEEB2" w14:textId="77777777" w:rsidR="00CD4625" w:rsidRPr="00517205" w:rsidRDefault="00CD4625" w:rsidP="00DD0041">
            <w:pPr>
              <w:spacing w:after="0" w:line="240" w:lineRule="auto"/>
              <w:jc w:val="center"/>
              <w:rPr>
                <w:rFonts w:ascii="Times New Roman" w:hAnsi="Times New Roman"/>
                <w:color w:val="000000"/>
                <w:sz w:val="20"/>
                <w:szCs w:val="20"/>
                <w:lang w:eastAsia="ru-RU"/>
              </w:rPr>
            </w:pPr>
            <w:r w:rsidRPr="00517205">
              <w:rPr>
                <w:rFonts w:ascii="Times New Roman" w:hAnsi="Times New Roman"/>
                <w:color w:val="000000"/>
                <w:sz w:val="20"/>
                <w:szCs w:val="20"/>
                <w:lang w:eastAsia="ru-RU"/>
              </w:rPr>
              <w:t>-0,847139657</w:t>
            </w:r>
          </w:p>
        </w:tc>
      </w:tr>
      <w:tr w:rsidR="00CD4625" w:rsidRPr="00517205" w14:paraId="034E77EE" w14:textId="77777777" w:rsidTr="00CD4625">
        <w:trPr>
          <w:trHeight w:val="300"/>
        </w:trPr>
        <w:tc>
          <w:tcPr>
            <w:tcW w:w="191" w:type="pct"/>
            <w:tcBorders>
              <w:top w:val="nil"/>
              <w:left w:val="single" w:sz="4" w:space="0" w:color="auto"/>
              <w:bottom w:val="single" w:sz="4" w:space="0" w:color="auto"/>
              <w:right w:val="single" w:sz="4" w:space="0" w:color="auto"/>
            </w:tcBorders>
            <w:shd w:val="clear" w:color="auto" w:fill="auto"/>
            <w:noWrap/>
            <w:vAlign w:val="bottom"/>
            <w:hideMark/>
          </w:tcPr>
          <w:p w14:paraId="5BA9C325" w14:textId="77777777" w:rsidR="00CD4625" w:rsidRPr="00517205" w:rsidRDefault="00CD4625" w:rsidP="00DD0041">
            <w:pPr>
              <w:spacing w:after="0" w:line="240" w:lineRule="auto"/>
              <w:jc w:val="right"/>
              <w:rPr>
                <w:rFonts w:ascii="Times New Roman" w:hAnsi="Times New Roman"/>
                <w:bCs/>
                <w:color w:val="000000"/>
                <w:sz w:val="20"/>
                <w:szCs w:val="20"/>
                <w:lang w:eastAsia="ru-RU"/>
              </w:rPr>
            </w:pPr>
            <w:r w:rsidRPr="00517205">
              <w:rPr>
                <w:rFonts w:ascii="Times New Roman" w:hAnsi="Times New Roman"/>
                <w:bCs/>
                <w:color w:val="000000"/>
                <w:sz w:val="20"/>
                <w:szCs w:val="20"/>
                <w:lang w:eastAsia="ru-RU"/>
              </w:rPr>
              <w:t>3</w:t>
            </w:r>
          </w:p>
        </w:tc>
        <w:tc>
          <w:tcPr>
            <w:tcW w:w="3737" w:type="pct"/>
            <w:tcBorders>
              <w:top w:val="nil"/>
              <w:left w:val="nil"/>
              <w:bottom w:val="single" w:sz="4" w:space="0" w:color="auto"/>
              <w:right w:val="single" w:sz="4" w:space="0" w:color="auto"/>
            </w:tcBorders>
            <w:shd w:val="clear" w:color="auto" w:fill="auto"/>
            <w:noWrap/>
            <w:vAlign w:val="bottom"/>
            <w:hideMark/>
          </w:tcPr>
          <w:p w14:paraId="1AB04427" w14:textId="202C5457" w:rsidR="00CD4625" w:rsidRPr="00C457D4" w:rsidRDefault="00C457D4" w:rsidP="00DD0041">
            <w:pPr>
              <w:spacing w:after="0" w:line="240" w:lineRule="auto"/>
              <w:rPr>
                <w:rFonts w:ascii="Times New Roman" w:hAnsi="Times New Roman"/>
                <w:color w:val="000000"/>
                <w:sz w:val="20"/>
                <w:szCs w:val="20"/>
                <w:lang w:val="en-US" w:eastAsia="ru-RU"/>
              </w:rPr>
            </w:pPr>
            <w:r w:rsidRPr="00C457D4">
              <w:rPr>
                <w:rFonts w:ascii="Times New Roman" w:hAnsi="Times New Roman"/>
                <w:color w:val="000000"/>
                <w:sz w:val="20"/>
                <w:szCs w:val="20"/>
                <w:lang w:val="en-US" w:eastAsia="ru-RU"/>
              </w:rPr>
              <w:t>Number of people in marriage and GRP</w:t>
            </w:r>
          </w:p>
        </w:tc>
        <w:tc>
          <w:tcPr>
            <w:tcW w:w="1072" w:type="pct"/>
            <w:tcBorders>
              <w:top w:val="nil"/>
              <w:left w:val="nil"/>
              <w:bottom w:val="single" w:sz="4" w:space="0" w:color="auto"/>
              <w:right w:val="single" w:sz="4" w:space="0" w:color="auto"/>
            </w:tcBorders>
            <w:shd w:val="clear" w:color="auto" w:fill="auto"/>
            <w:noWrap/>
            <w:vAlign w:val="bottom"/>
            <w:hideMark/>
          </w:tcPr>
          <w:p w14:paraId="77333A3F" w14:textId="77777777" w:rsidR="00CD4625" w:rsidRPr="00517205" w:rsidRDefault="00CD4625" w:rsidP="00DD0041">
            <w:pPr>
              <w:spacing w:after="0" w:line="240" w:lineRule="auto"/>
              <w:jc w:val="center"/>
              <w:rPr>
                <w:rFonts w:ascii="Times New Roman" w:hAnsi="Times New Roman"/>
                <w:color w:val="000000"/>
                <w:sz w:val="20"/>
                <w:szCs w:val="20"/>
                <w:lang w:eastAsia="ru-RU"/>
              </w:rPr>
            </w:pPr>
            <w:r w:rsidRPr="00517205">
              <w:rPr>
                <w:rFonts w:ascii="Times New Roman" w:hAnsi="Times New Roman"/>
                <w:color w:val="000000"/>
                <w:sz w:val="20"/>
                <w:szCs w:val="20"/>
                <w:lang w:eastAsia="ru-RU"/>
              </w:rPr>
              <w:t>0,857605852</w:t>
            </w:r>
          </w:p>
        </w:tc>
      </w:tr>
      <w:tr w:rsidR="00CD4625" w:rsidRPr="00517205" w14:paraId="2EFC3425" w14:textId="77777777" w:rsidTr="00CD4625">
        <w:trPr>
          <w:trHeight w:val="300"/>
        </w:trPr>
        <w:tc>
          <w:tcPr>
            <w:tcW w:w="191" w:type="pct"/>
            <w:tcBorders>
              <w:top w:val="nil"/>
              <w:left w:val="single" w:sz="4" w:space="0" w:color="auto"/>
              <w:bottom w:val="single" w:sz="4" w:space="0" w:color="auto"/>
              <w:right w:val="single" w:sz="4" w:space="0" w:color="auto"/>
            </w:tcBorders>
            <w:shd w:val="clear" w:color="auto" w:fill="auto"/>
            <w:noWrap/>
            <w:vAlign w:val="bottom"/>
            <w:hideMark/>
          </w:tcPr>
          <w:p w14:paraId="745B8E72" w14:textId="77777777" w:rsidR="00CD4625" w:rsidRPr="00517205" w:rsidRDefault="00CD4625" w:rsidP="00DD0041">
            <w:pPr>
              <w:spacing w:after="0" w:line="240" w:lineRule="auto"/>
              <w:jc w:val="right"/>
              <w:rPr>
                <w:rFonts w:ascii="Times New Roman" w:hAnsi="Times New Roman"/>
                <w:bCs/>
                <w:color w:val="000000"/>
                <w:sz w:val="20"/>
                <w:szCs w:val="20"/>
                <w:lang w:eastAsia="ru-RU"/>
              </w:rPr>
            </w:pPr>
            <w:r w:rsidRPr="00517205">
              <w:rPr>
                <w:rFonts w:ascii="Times New Roman" w:hAnsi="Times New Roman"/>
                <w:bCs/>
                <w:color w:val="000000"/>
                <w:sz w:val="20"/>
                <w:szCs w:val="20"/>
                <w:lang w:eastAsia="ru-RU"/>
              </w:rPr>
              <w:t>4</w:t>
            </w:r>
          </w:p>
        </w:tc>
        <w:tc>
          <w:tcPr>
            <w:tcW w:w="3737" w:type="pct"/>
            <w:tcBorders>
              <w:top w:val="nil"/>
              <w:left w:val="nil"/>
              <w:bottom w:val="single" w:sz="4" w:space="0" w:color="auto"/>
              <w:right w:val="single" w:sz="4" w:space="0" w:color="auto"/>
            </w:tcBorders>
            <w:shd w:val="clear" w:color="auto" w:fill="auto"/>
            <w:noWrap/>
            <w:vAlign w:val="bottom"/>
            <w:hideMark/>
          </w:tcPr>
          <w:p w14:paraId="777492F7" w14:textId="7DFCA9EE" w:rsidR="00CD4625" w:rsidRPr="00517205" w:rsidRDefault="00C457D4" w:rsidP="00DD0041">
            <w:pPr>
              <w:spacing w:after="0" w:line="240" w:lineRule="auto"/>
              <w:rPr>
                <w:rFonts w:ascii="Times New Roman" w:hAnsi="Times New Roman"/>
                <w:color w:val="000000"/>
                <w:sz w:val="20"/>
                <w:szCs w:val="20"/>
                <w:lang w:eastAsia="ru-RU"/>
              </w:rPr>
            </w:pPr>
            <w:proofErr w:type="spellStart"/>
            <w:r w:rsidRPr="00C457D4">
              <w:rPr>
                <w:rFonts w:ascii="Times New Roman" w:hAnsi="Times New Roman"/>
                <w:color w:val="000000"/>
                <w:sz w:val="20"/>
                <w:szCs w:val="20"/>
                <w:lang w:eastAsia="ru-RU"/>
              </w:rPr>
              <w:t>Unemployment</w:t>
            </w:r>
            <w:proofErr w:type="spellEnd"/>
            <w:r w:rsidRPr="00C457D4">
              <w:rPr>
                <w:rFonts w:ascii="Times New Roman" w:hAnsi="Times New Roman"/>
                <w:color w:val="000000"/>
                <w:sz w:val="20"/>
                <w:szCs w:val="20"/>
                <w:lang w:eastAsia="ru-RU"/>
              </w:rPr>
              <w:t xml:space="preserve"> </w:t>
            </w:r>
            <w:proofErr w:type="spellStart"/>
            <w:r w:rsidRPr="00C457D4">
              <w:rPr>
                <w:rFonts w:ascii="Times New Roman" w:hAnsi="Times New Roman"/>
                <w:color w:val="000000"/>
                <w:sz w:val="20"/>
                <w:szCs w:val="20"/>
                <w:lang w:eastAsia="ru-RU"/>
              </w:rPr>
              <w:t>rate</w:t>
            </w:r>
            <w:proofErr w:type="spellEnd"/>
            <w:r w:rsidRPr="00C457D4">
              <w:rPr>
                <w:rFonts w:ascii="Times New Roman" w:hAnsi="Times New Roman"/>
                <w:color w:val="000000"/>
                <w:sz w:val="20"/>
                <w:szCs w:val="20"/>
                <w:lang w:eastAsia="ru-RU"/>
              </w:rPr>
              <w:t xml:space="preserve"> </w:t>
            </w:r>
            <w:proofErr w:type="spellStart"/>
            <w:r w:rsidRPr="00C457D4">
              <w:rPr>
                <w:rFonts w:ascii="Times New Roman" w:hAnsi="Times New Roman"/>
                <w:color w:val="000000"/>
                <w:sz w:val="20"/>
                <w:szCs w:val="20"/>
                <w:lang w:eastAsia="ru-RU"/>
              </w:rPr>
              <w:t>and</w:t>
            </w:r>
            <w:proofErr w:type="spellEnd"/>
            <w:r w:rsidRPr="00C457D4">
              <w:rPr>
                <w:rFonts w:ascii="Times New Roman" w:hAnsi="Times New Roman"/>
                <w:color w:val="000000"/>
                <w:sz w:val="20"/>
                <w:szCs w:val="20"/>
                <w:lang w:eastAsia="ru-RU"/>
              </w:rPr>
              <w:t xml:space="preserve"> GRP</w:t>
            </w:r>
          </w:p>
        </w:tc>
        <w:tc>
          <w:tcPr>
            <w:tcW w:w="1072" w:type="pct"/>
            <w:tcBorders>
              <w:top w:val="nil"/>
              <w:left w:val="nil"/>
              <w:bottom w:val="single" w:sz="4" w:space="0" w:color="auto"/>
              <w:right w:val="single" w:sz="4" w:space="0" w:color="auto"/>
            </w:tcBorders>
            <w:shd w:val="clear" w:color="auto" w:fill="auto"/>
            <w:noWrap/>
            <w:vAlign w:val="bottom"/>
            <w:hideMark/>
          </w:tcPr>
          <w:p w14:paraId="4E36FFB2" w14:textId="77777777" w:rsidR="00CD4625" w:rsidRPr="00517205" w:rsidRDefault="00CD4625" w:rsidP="00DD0041">
            <w:pPr>
              <w:spacing w:after="0" w:line="240" w:lineRule="auto"/>
              <w:jc w:val="center"/>
              <w:rPr>
                <w:rFonts w:ascii="Times New Roman" w:hAnsi="Times New Roman"/>
                <w:color w:val="000000"/>
                <w:sz w:val="20"/>
                <w:szCs w:val="20"/>
                <w:lang w:eastAsia="ru-RU"/>
              </w:rPr>
            </w:pPr>
            <w:r w:rsidRPr="00517205">
              <w:rPr>
                <w:rFonts w:ascii="Times New Roman" w:hAnsi="Times New Roman"/>
                <w:color w:val="000000"/>
                <w:sz w:val="20"/>
                <w:szCs w:val="20"/>
                <w:lang w:eastAsia="ru-RU"/>
              </w:rPr>
              <w:t>-0,894812445</w:t>
            </w:r>
          </w:p>
        </w:tc>
      </w:tr>
      <w:tr w:rsidR="00CD4625" w:rsidRPr="00517205" w14:paraId="26BC8E6A" w14:textId="77777777" w:rsidTr="00CD4625">
        <w:trPr>
          <w:trHeight w:val="300"/>
        </w:trPr>
        <w:tc>
          <w:tcPr>
            <w:tcW w:w="191" w:type="pct"/>
            <w:tcBorders>
              <w:top w:val="nil"/>
              <w:left w:val="single" w:sz="4" w:space="0" w:color="auto"/>
              <w:bottom w:val="single" w:sz="4" w:space="0" w:color="auto"/>
              <w:right w:val="single" w:sz="4" w:space="0" w:color="auto"/>
            </w:tcBorders>
            <w:shd w:val="clear" w:color="auto" w:fill="auto"/>
            <w:noWrap/>
            <w:vAlign w:val="bottom"/>
            <w:hideMark/>
          </w:tcPr>
          <w:p w14:paraId="1C69392C" w14:textId="77777777" w:rsidR="00CD4625" w:rsidRPr="00517205" w:rsidRDefault="00CD4625" w:rsidP="00DD0041">
            <w:pPr>
              <w:spacing w:after="0" w:line="240" w:lineRule="auto"/>
              <w:jc w:val="right"/>
              <w:rPr>
                <w:rFonts w:ascii="Times New Roman" w:hAnsi="Times New Roman"/>
                <w:bCs/>
                <w:color w:val="000000"/>
                <w:sz w:val="20"/>
                <w:szCs w:val="20"/>
                <w:lang w:eastAsia="ru-RU"/>
              </w:rPr>
            </w:pPr>
            <w:r w:rsidRPr="00517205">
              <w:rPr>
                <w:rFonts w:ascii="Times New Roman" w:hAnsi="Times New Roman"/>
                <w:bCs/>
                <w:color w:val="000000"/>
                <w:sz w:val="20"/>
                <w:szCs w:val="20"/>
                <w:lang w:eastAsia="ru-RU"/>
              </w:rPr>
              <w:t>5</w:t>
            </w:r>
          </w:p>
        </w:tc>
        <w:tc>
          <w:tcPr>
            <w:tcW w:w="3737" w:type="pct"/>
            <w:tcBorders>
              <w:top w:val="nil"/>
              <w:left w:val="nil"/>
              <w:bottom w:val="single" w:sz="4" w:space="0" w:color="auto"/>
              <w:right w:val="single" w:sz="4" w:space="0" w:color="auto"/>
            </w:tcBorders>
            <w:shd w:val="clear" w:color="auto" w:fill="auto"/>
            <w:noWrap/>
            <w:vAlign w:val="bottom"/>
            <w:hideMark/>
          </w:tcPr>
          <w:p w14:paraId="0BC31CA3" w14:textId="25C017D3" w:rsidR="00CD4625" w:rsidRPr="00517205" w:rsidRDefault="00C457D4" w:rsidP="00DD0041">
            <w:pPr>
              <w:spacing w:after="0" w:line="240" w:lineRule="auto"/>
              <w:rPr>
                <w:rFonts w:ascii="Times New Roman" w:hAnsi="Times New Roman"/>
                <w:color w:val="000000"/>
                <w:sz w:val="20"/>
                <w:szCs w:val="20"/>
                <w:lang w:eastAsia="ru-RU"/>
              </w:rPr>
            </w:pPr>
            <w:proofErr w:type="spellStart"/>
            <w:r w:rsidRPr="00C457D4">
              <w:rPr>
                <w:rFonts w:ascii="Times New Roman" w:hAnsi="Times New Roman"/>
                <w:color w:val="000000"/>
                <w:sz w:val="20"/>
                <w:szCs w:val="20"/>
                <w:lang w:eastAsia="ru-RU"/>
              </w:rPr>
              <w:t>Average</w:t>
            </w:r>
            <w:proofErr w:type="spellEnd"/>
            <w:r w:rsidRPr="00C457D4">
              <w:rPr>
                <w:rFonts w:ascii="Times New Roman" w:hAnsi="Times New Roman"/>
                <w:color w:val="000000"/>
                <w:sz w:val="20"/>
                <w:szCs w:val="20"/>
                <w:lang w:eastAsia="ru-RU"/>
              </w:rPr>
              <w:t xml:space="preserve"> </w:t>
            </w:r>
            <w:proofErr w:type="spellStart"/>
            <w:r w:rsidRPr="00C457D4">
              <w:rPr>
                <w:rFonts w:ascii="Times New Roman" w:hAnsi="Times New Roman"/>
                <w:color w:val="000000"/>
                <w:sz w:val="20"/>
                <w:szCs w:val="20"/>
                <w:lang w:eastAsia="ru-RU"/>
              </w:rPr>
              <w:t>salary</w:t>
            </w:r>
            <w:proofErr w:type="spellEnd"/>
            <w:r w:rsidRPr="00C457D4">
              <w:rPr>
                <w:rFonts w:ascii="Times New Roman" w:hAnsi="Times New Roman"/>
                <w:color w:val="000000"/>
                <w:sz w:val="20"/>
                <w:szCs w:val="20"/>
                <w:lang w:eastAsia="ru-RU"/>
              </w:rPr>
              <w:t xml:space="preserve"> </w:t>
            </w:r>
            <w:proofErr w:type="spellStart"/>
            <w:r w:rsidRPr="00C457D4">
              <w:rPr>
                <w:rFonts w:ascii="Times New Roman" w:hAnsi="Times New Roman"/>
                <w:color w:val="000000"/>
                <w:sz w:val="20"/>
                <w:szCs w:val="20"/>
                <w:lang w:eastAsia="ru-RU"/>
              </w:rPr>
              <w:t>and</w:t>
            </w:r>
            <w:proofErr w:type="spellEnd"/>
            <w:r w:rsidRPr="00C457D4">
              <w:rPr>
                <w:rFonts w:ascii="Times New Roman" w:hAnsi="Times New Roman"/>
                <w:color w:val="000000"/>
                <w:sz w:val="20"/>
                <w:szCs w:val="20"/>
                <w:lang w:eastAsia="ru-RU"/>
              </w:rPr>
              <w:t xml:space="preserve"> GRP</w:t>
            </w:r>
          </w:p>
        </w:tc>
        <w:tc>
          <w:tcPr>
            <w:tcW w:w="1072" w:type="pct"/>
            <w:tcBorders>
              <w:top w:val="nil"/>
              <w:left w:val="nil"/>
              <w:bottom w:val="single" w:sz="4" w:space="0" w:color="auto"/>
              <w:right w:val="single" w:sz="4" w:space="0" w:color="auto"/>
            </w:tcBorders>
            <w:shd w:val="clear" w:color="auto" w:fill="auto"/>
            <w:noWrap/>
            <w:vAlign w:val="bottom"/>
            <w:hideMark/>
          </w:tcPr>
          <w:p w14:paraId="572E4FE9" w14:textId="77777777" w:rsidR="00CD4625" w:rsidRPr="00517205" w:rsidRDefault="00CD4625" w:rsidP="00DD0041">
            <w:pPr>
              <w:spacing w:after="0" w:line="240" w:lineRule="auto"/>
              <w:jc w:val="center"/>
              <w:rPr>
                <w:rFonts w:ascii="Times New Roman" w:hAnsi="Times New Roman"/>
                <w:color w:val="000000"/>
                <w:sz w:val="20"/>
                <w:szCs w:val="20"/>
                <w:lang w:eastAsia="ru-RU"/>
              </w:rPr>
            </w:pPr>
            <w:r w:rsidRPr="00517205">
              <w:rPr>
                <w:rFonts w:ascii="Times New Roman" w:hAnsi="Times New Roman"/>
                <w:color w:val="000000"/>
                <w:sz w:val="20"/>
                <w:szCs w:val="20"/>
                <w:lang w:eastAsia="ru-RU"/>
              </w:rPr>
              <w:t>0,980668938</w:t>
            </w:r>
          </w:p>
        </w:tc>
      </w:tr>
      <w:tr w:rsidR="00CD4625" w:rsidRPr="00517205" w14:paraId="4E062DD8" w14:textId="77777777" w:rsidTr="00CD4625">
        <w:trPr>
          <w:trHeight w:val="300"/>
        </w:trPr>
        <w:tc>
          <w:tcPr>
            <w:tcW w:w="191" w:type="pct"/>
            <w:tcBorders>
              <w:top w:val="nil"/>
              <w:left w:val="single" w:sz="4" w:space="0" w:color="auto"/>
              <w:bottom w:val="single" w:sz="4" w:space="0" w:color="auto"/>
              <w:right w:val="single" w:sz="4" w:space="0" w:color="auto"/>
            </w:tcBorders>
            <w:shd w:val="clear" w:color="auto" w:fill="auto"/>
            <w:noWrap/>
            <w:vAlign w:val="bottom"/>
            <w:hideMark/>
          </w:tcPr>
          <w:p w14:paraId="2AB03A26" w14:textId="77777777" w:rsidR="00CD4625" w:rsidRPr="00517205" w:rsidRDefault="00CD4625" w:rsidP="00DD0041">
            <w:pPr>
              <w:spacing w:after="0" w:line="240" w:lineRule="auto"/>
              <w:jc w:val="right"/>
              <w:rPr>
                <w:rFonts w:ascii="Times New Roman" w:hAnsi="Times New Roman"/>
                <w:bCs/>
                <w:color w:val="000000"/>
                <w:sz w:val="20"/>
                <w:szCs w:val="20"/>
                <w:lang w:eastAsia="ru-RU"/>
              </w:rPr>
            </w:pPr>
            <w:r>
              <w:rPr>
                <w:rFonts w:ascii="Times New Roman" w:hAnsi="Times New Roman"/>
                <w:bCs/>
                <w:color w:val="000000"/>
                <w:sz w:val="20"/>
                <w:szCs w:val="20"/>
                <w:lang w:eastAsia="ru-RU"/>
              </w:rPr>
              <w:t>6</w:t>
            </w:r>
          </w:p>
        </w:tc>
        <w:tc>
          <w:tcPr>
            <w:tcW w:w="3737" w:type="pct"/>
            <w:tcBorders>
              <w:top w:val="nil"/>
              <w:left w:val="nil"/>
              <w:bottom w:val="single" w:sz="4" w:space="0" w:color="auto"/>
              <w:right w:val="single" w:sz="4" w:space="0" w:color="auto"/>
            </w:tcBorders>
            <w:shd w:val="clear" w:color="auto" w:fill="auto"/>
            <w:noWrap/>
            <w:vAlign w:val="bottom"/>
            <w:hideMark/>
          </w:tcPr>
          <w:p w14:paraId="45B37BC7" w14:textId="4CC62618" w:rsidR="00CD4625" w:rsidRPr="00C457D4" w:rsidRDefault="00C457D4" w:rsidP="00DD0041">
            <w:pPr>
              <w:spacing w:after="0" w:line="240" w:lineRule="auto"/>
              <w:rPr>
                <w:rFonts w:ascii="Times New Roman" w:hAnsi="Times New Roman"/>
                <w:color w:val="000000"/>
                <w:sz w:val="20"/>
                <w:szCs w:val="20"/>
                <w:lang w:val="en-US" w:eastAsia="ru-RU"/>
              </w:rPr>
            </w:pPr>
            <w:r w:rsidRPr="00C457D4">
              <w:rPr>
                <w:rFonts w:ascii="Times New Roman" w:hAnsi="Times New Roman"/>
                <w:color w:val="000000"/>
                <w:sz w:val="20"/>
                <w:szCs w:val="20"/>
                <w:lang w:val="en-US" w:eastAsia="ru-RU"/>
              </w:rPr>
              <w:t>Average salary and unemployment rate</w:t>
            </w:r>
          </w:p>
        </w:tc>
        <w:tc>
          <w:tcPr>
            <w:tcW w:w="1072" w:type="pct"/>
            <w:tcBorders>
              <w:top w:val="nil"/>
              <w:left w:val="nil"/>
              <w:bottom w:val="single" w:sz="4" w:space="0" w:color="auto"/>
              <w:right w:val="single" w:sz="4" w:space="0" w:color="auto"/>
            </w:tcBorders>
            <w:shd w:val="clear" w:color="auto" w:fill="auto"/>
            <w:noWrap/>
            <w:vAlign w:val="bottom"/>
            <w:hideMark/>
          </w:tcPr>
          <w:p w14:paraId="11A04F12" w14:textId="77777777" w:rsidR="00CD4625" w:rsidRPr="00517205" w:rsidRDefault="00CD4625" w:rsidP="00DD0041">
            <w:pPr>
              <w:spacing w:after="0" w:line="240" w:lineRule="auto"/>
              <w:jc w:val="center"/>
              <w:rPr>
                <w:rFonts w:ascii="Times New Roman" w:hAnsi="Times New Roman"/>
                <w:color w:val="000000"/>
                <w:sz w:val="20"/>
                <w:szCs w:val="20"/>
                <w:lang w:eastAsia="ru-RU"/>
              </w:rPr>
            </w:pPr>
            <w:r w:rsidRPr="00517205">
              <w:rPr>
                <w:rFonts w:ascii="Times New Roman" w:hAnsi="Times New Roman"/>
                <w:color w:val="000000"/>
                <w:sz w:val="20"/>
                <w:szCs w:val="20"/>
                <w:lang w:eastAsia="ru-RU"/>
              </w:rPr>
              <w:t>-0,921850517</w:t>
            </w:r>
          </w:p>
        </w:tc>
      </w:tr>
      <w:tr w:rsidR="00CD4625" w:rsidRPr="00517205" w14:paraId="7C89378A" w14:textId="77777777" w:rsidTr="00CD4625">
        <w:trPr>
          <w:trHeight w:val="300"/>
        </w:trPr>
        <w:tc>
          <w:tcPr>
            <w:tcW w:w="191" w:type="pct"/>
            <w:tcBorders>
              <w:top w:val="nil"/>
              <w:left w:val="single" w:sz="4" w:space="0" w:color="auto"/>
              <w:bottom w:val="single" w:sz="4" w:space="0" w:color="auto"/>
              <w:right w:val="single" w:sz="4" w:space="0" w:color="auto"/>
            </w:tcBorders>
            <w:shd w:val="clear" w:color="auto" w:fill="auto"/>
            <w:noWrap/>
            <w:vAlign w:val="bottom"/>
            <w:hideMark/>
          </w:tcPr>
          <w:p w14:paraId="5E199C2C" w14:textId="77777777" w:rsidR="00CD4625" w:rsidRPr="00517205" w:rsidRDefault="00CD4625" w:rsidP="00DD0041">
            <w:pPr>
              <w:spacing w:after="0" w:line="240" w:lineRule="auto"/>
              <w:jc w:val="right"/>
              <w:rPr>
                <w:rFonts w:ascii="Times New Roman" w:hAnsi="Times New Roman"/>
                <w:bCs/>
                <w:color w:val="000000"/>
                <w:sz w:val="20"/>
                <w:szCs w:val="20"/>
                <w:lang w:eastAsia="ru-RU"/>
              </w:rPr>
            </w:pPr>
            <w:r>
              <w:rPr>
                <w:rFonts w:ascii="Times New Roman" w:hAnsi="Times New Roman"/>
                <w:bCs/>
                <w:color w:val="000000"/>
                <w:sz w:val="20"/>
                <w:szCs w:val="20"/>
                <w:lang w:eastAsia="ru-RU"/>
              </w:rPr>
              <w:t>7</w:t>
            </w:r>
          </w:p>
        </w:tc>
        <w:tc>
          <w:tcPr>
            <w:tcW w:w="3737" w:type="pct"/>
            <w:tcBorders>
              <w:top w:val="nil"/>
              <w:left w:val="nil"/>
              <w:bottom w:val="single" w:sz="4" w:space="0" w:color="auto"/>
              <w:right w:val="single" w:sz="4" w:space="0" w:color="auto"/>
            </w:tcBorders>
            <w:shd w:val="clear" w:color="auto" w:fill="auto"/>
            <w:noWrap/>
            <w:vAlign w:val="bottom"/>
            <w:hideMark/>
          </w:tcPr>
          <w:p w14:paraId="1789229F" w14:textId="6B8CFDA7" w:rsidR="00CD4625" w:rsidRPr="00C457D4" w:rsidRDefault="00C457D4" w:rsidP="00DD0041">
            <w:pPr>
              <w:spacing w:after="0" w:line="240" w:lineRule="auto"/>
              <w:rPr>
                <w:rFonts w:ascii="Times New Roman" w:hAnsi="Times New Roman"/>
                <w:color w:val="000000"/>
                <w:sz w:val="20"/>
                <w:szCs w:val="20"/>
                <w:lang w:val="en-US" w:eastAsia="ru-RU"/>
              </w:rPr>
            </w:pPr>
            <w:r w:rsidRPr="00C457D4">
              <w:rPr>
                <w:rFonts w:ascii="Times New Roman" w:hAnsi="Times New Roman"/>
                <w:color w:val="000000"/>
                <w:sz w:val="20"/>
                <w:szCs w:val="20"/>
                <w:lang w:val="en-US" w:eastAsia="ru-RU"/>
              </w:rPr>
              <w:t>Life expectancy and unemployment rate</w:t>
            </w:r>
          </w:p>
        </w:tc>
        <w:tc>
          <w:tcPr>
            <w:tcW w:w="1072" w:type="pct"/>
            <w:tcBorders>
              <w:top w:val="nil"/>
              <w:left w:val="nil"/>
              <w:bottom w:val="single" w:sz="4" w:space="0" w:color="auto"/>
              <w:right w:val="single" w:sz="4" w:space="0" w:color="auto"/>
            </w:tcBorders>
            <w:shd w:val="clear" w:color="auto" w:fill="auto"/>
            <w:noWrap/>
            <w:vAlign w:val="bottom"/>
            <w:hideMark/>
          </w:tcPr>
          <w:p w14:paraId="0301F10D" w14:textId="77777777" w:rsidR="00CD4625" w:rsidRPr="00517205" w:rsidRDefault="00CD4625" w:rsidP="00DD0041">
            <w:pPr>
              <w:spacing w:after="0" w:line="240" w:lineRule="auto"/>
              <w:jc w:val="center"/>
              <w:rPr>
                <w:rFonts w:ascii="Times New Roman" w:hAnsi="Times New Roman"/>
                <w:color w:val="000000"/>
                <w:sz w:val="20"/>
                <w:szCs w:val="20"/>
                <w:lang w:eastAsia="ru-RU"/>
              </w:rPr>
            </w:pPr>
            <w:r w:rsidRPr="00517205">
              <w:rPr>
                <w:rFonts w:ascii="Times New Roman" w:hAnsi="Times New Roman"/>
                <w:color w:val="000000"/>
                <w:sz w:val="20"/>
                <w:szCs w:val="20"/>
                <w:lang w:eastAsia="ru-RU"/>
              </w:rPr>
              <w:t>-0,618832284</w:t>
            </w:r>
          </w:p>
        </w:tc>
      </w:tr>
      <w:tr w:rsidR="00CD4625" w:rsidRPr="00517205" w14:paraId="74F8D20F" w14:textId="77777777" w:rsidTr="00CD4625">
        <w:trPr>
          <w:trHeight w:val="300"/>
        </w:trPr>
        <w:tc>
          <w:tcPr>
            <w:tcW w:w="191" w:type="pct"/>
            <w:tcBorders>
              <w:top w:val="nil"/>
              <w:left w:val="single" w:sz="4" w:space="0" w:color="auto"/>
              <w:bottom w:val="single" w:sz="4" w:space="0" w:color="auto"/>
              <w:right w:val="single" w:sz="4" w:space="0" w:color="auto"/>
            </w:tcBorders>
            <w:shd w:val="clear" w:color="auto" w:fill="auto"/>
            <w:noWrap/>
            <w:vAlign w:val="bottom"/>
            <w:hideMark/>
          </w:tcPr>
          <w:p w14:paraId="3724B5B4" w14:textId="77777777" w:rsidR="00CD4625" w:rsidRPr="00517205" w:rsidRDefault="00CD4625" w:rsidP="00DD0041">
            <w:pPr>
              <w:spacing w:after="0" w:line="240" w:lineRule="auto"/>
              <w:jc w:val="right"/>
              <w:rPr>
                <w:rFonts w:ascii="Times New Roman" w:hAnsi="Times New Roman"/>
                <w:bCs/>
                <w:color w:val="000000"/>
                <w:sz w:val="20"/>
                <w:szCs w:val="20"/>
                <w:lang w:eastAsia="ru-RU"/>
              </w:rPr>
            </w:pPr>
            <w:r>
              <w:rPr>
                <w:rFonts w:ascii="Times New Roman" w:hAnsi="Times New Roman"/>
                <w:bCs/>
                <w:color w:val="000000"/>
                <w:sz w:val="20"/>
                <w:szCs w:val="20"/>
                <w:lang w:eastAsia="ru-RU"/>
              </w:rPr>
              <w:t>8</w:t>
            </w:r>
          </w:p>
        </w:tc>
        <w:tc>
          <w:tcPr>
            <w:tcW w:w="3737" w:type="pct"/>
            <w:tcBorders>
              <w:top w:val="nil"/>
              <w:left w:val="nil"/>
              <w:bottom w:val="single" w:sz="4" w:space="0" w:color="auto"/>
              <w:right w:val="single" w:sz="4" w:space="0" w:color="auto"/>
            </w:tcBorders>
            <w:shd w:val="clear" w:color="auto" w:fill="auto"/>
            <w:noWrap/>
            <w:vAlign w:val="bottom"/>
            <w:hideMark/>
          </w:tcPr>
          <w:p w14:paraId="165B7BA8" w14:textId="2B9F9B69" w:rsidR="00CD4625" w:rsidRPr="00C457D4" w:rsidRDefault="00C457D4" w:rsidP="00DD0041">
            <w:pPr>
              <w:spacing w:after="0" w:line="240" w:lineRule="auto"/>
              <w:rPr>
                <w:rFonts w:ascii="Times New Roman" w:hAnsi="Times New Roman"/>
                <w:color w:val="000000"/>
                <w:sz w:val="20"/>
                <w:szCs w:val="20"/>
                <w:lang w:val="en-US" w:eastAsia="ru-RU"/>
              </w:rPr>
            </w:pPr>
            <w:r w:rsidRPr="00C457D4">
              <w:rPr>
                <w:rFonts w:ascii="Times New Roman" w:hAnsi="Times New Roman"/>
                <w:color w:val="000000"/>
                <w:sz w:val="20"/>
                <w:szCs w:val="20"/>
                <w:lang w:val="en-US" w:eastAsia="ru-RU"/>
              </w:rPr>
              <w:t>Disabled population amount and average salary</w:t>
            </w:r>
          </w:p>
        </w:tc>
        <w:tc>
          <w:tcPr>
            <w:tcW w:w="1072" w:type="pct"/>
            <w:tcBorders>
              <w:top w:val="nil"/>
              <w:left w:val="nil"/>
              <w:bottom w:val="single" w:sz="4" w:space="0" w:color="auto"/>
              <w:right w:val="single" w:sz="4" w:space="0" w:color="auto"/>
            </w:tcBorders>
            <w:shd w:val="clear" w:color="auto" w:fill="auto"/>
            <w:noWrap/>
            <w:vAlign w:val="bottom"/>
            <w:hideMark/>
          </w:tcPr>
          <w:p w14:paraId="4EA39786" w14:textId="77777777" w:rsidR="00CD4625" w:rsidRPr="00517205" w:rsidRDefault="00CD4625" w:rsidP="00DD0041">
            <w:pPr>
              <w:spacing w:after="0" w:line="240" w:lineRule="auto"/>
              <w:jc w:val="center"/>
              <w:rPr>
                <w:rFonts w:ascii="Times New Roman" w:hAnsi="Times New Roman"/>
                <w:color w:val="000000"/>
                <w:sz w:val="20"/>
                <w:szCs w:val="20"/>
                <w:lang w:eastAsia="ru-RU"/>
              </w:rPr>
            </w:pPr>
            <w:r w:rsidRPr="00517205">
              <w:rPr>
                <w:rFonts w:ascii="Times New Roman" w:hAnsi="Times New Roman"/>
                <w:color w:val="000000"/>
                <w:sz w:val="20"/>
                <w:szCs w:val="20"/>
                <w:lang w:eastAsia="ru-RU"/>
              </w:rPr>
              <w:t>-0,862165734</w:t>
            </w:r>
          </w:p>
        </w:tc>
      </w:tr>
    </w:tbl>
    <w:p w14:paraId="089F7640" w14:textId="77777777" w:rsidR="00CD4625" w:rsidRDefault="00CD4625" w:rsidP="00CD4625">
      <w:pPr>
        <w:widowControl w:val="0"/>
        <w:spacing w:after="0" w:line="240" w:lineRule="auto"/>
        <w:jc w:val="both"/>
        <w:rPr>
          <w:rFonts w:ascii="Times New Roman" w:hAnsi="Times New Roman"/>
          <w:sz w:val="24"/>
          <w:szCs w:val="24"/>
        </w:rPr>
      </w:pPr>
    </w:p>
    <w:p w14:paraId="2BC8AAB7" w14:textId="77777777" w:rsidR="00514BED" w:rsidRPr="00514BED" w:rsidRDefault="00514BED" w:rsidP="00514BED">
      <w:pPr>
        <w:widowControl w:val="0"/>
        <w:spacing w:after="0" w:line="240" w:lineRule="auto"/>
        <w:ind w:firstLine="567"/>
        <w:jc w:val="both"/>
        <w:rPr>
          <w:rFonts w:ascii="Times New Roman" w:hAnsi="Times New Roman"/>
          <w:sz w:val="24"/>
          <w:szCs w:val="24"/>
          <w:lang w:val="en-US"/>
        </w:rPr>
      </w:pPr>
      <w:r w:rsidRPr="00514BED">
        <w:rPr>
          <w:rFonts w:ascii="Times New Roman" w:hAnsi="Times New Roman"/>
          <w:sz w:val="24"/>
          <w:szCs w:val="24"/>
          <w:lang w:val="en-US"/>
        </w:rPr>
        <w:t xml:space="preserve">The data of the Table 2 clearly demonstrate that there is a close relationship between the indicators characterizing the level of a territory competitiveness and quantitative indicators of human </w:t>
      </w:r>
      <w:r w:rsidRPr="00514BED">
        <w:rPr>
          <w:rFonts w:ascii="Times New Roman" w:hAnsi="Times New Roman"/>
          <w:sz w:val="24"/>
          <w:szCs w:val="24"/>
          <w:lang w:val="en-US"/>
        </w:rPr>
        <w:lastRenderedPageBreak/>
        <w:t>capital development. The hypothesis presented earlier has been proven. That is, the process of a territory competitiveness increase can be controlled, thereby increasing the rate of the country economy development. This control can be provided through a variety of tools, also through the development of human capital, its qualitative characteristics, knowledge, skills, and abilities.</w:t>
      </w:r>
    </w:p>
    <w:p w14:paraId="4913CA50" w14:textId="4F1424A0" w:rsidR="00CD4625" w:rsidRPr="00514BED" w:rsidRDefault="00514BED" w:rsidP="00514BED">
      <w:pPr>
        <w:widowControl w:val="0"/>
        <w:spacing w:after="0" w:line="240" w:lineRule="auto"/>
        <w:ind w:firstLine="567"/>
        <w:jc w:val="both"/>
        <w:rPr>
          <w:rFonts w:ascii="Times New Roman" w:hAnsi="Times New Roman"/>
          <w:sz w:val="24"/>
          <w:szCs w:val="24"/>
          <w:lang w:val="en-US"/>
        </w:rPr>
      </w:pPr>
      <w:r w:rsidRPr="00514BED">
        <w:rPr>
          <w:rFonts w:ascii="Times New Roman" w:hAnsi="Times New Roman"/>
          <w:sz w:val="24"/>
          <w:szCs w:val="24"/>
          <w:lang w:val="en-US"/>
        </w:rPr>
        <w:t xml:space="preserve">Let's consider another option to determine the relationship, now using the example of a specific region of the Russian Far East - </w:t>
      </w:r>
      <w:proofErr w:type="spellStart"/>
      <w:r w:rsidRPr="00514BED">
        <w:rPr>
          <w:rFonts w:ascii="Times New Roman" w:hAnsi="Times New Roman"/>
          <w:sz w:val="24"/>
          <w:szCs w:val="24"/>
          <w:lang w:val="en-US"/>
        </w:rPr>
        <w:t>Primorsky</w:t>
      </w:r>
      <w:proofErr w:type="spellEnd"/>
      <w:r w:rsidRPr="00514BED">
        <w:rPr>
          <w:rFonts w:ascii="Times New Roman" w:hAnsi="Times New Roman"/>
          <w:sz w:val="24"/>
          <w:szCs w:val="24"/>
          <w:lang w:val="en-US"/>
        </w:rPr>
        <w:t xml:space="preserve"> Krai [Andreev, </w:t>
      </w:r>
      <w:proofErr w:type="spellStart"/>
      <w:r w:rsidRPr="00514BED">
        <w:rPr>
          <w:rFonts w:ascii="Times New Roman" w:hAnsi="Times New Roman"/>
          <w:sz w:val="24"/>
          <w:szCs w:val="24"/>
          <w:lang w:val="en-US"/>
        </w:rPr>
        <w:t>Varkulevich</w:t>
      </w:r>
      <w:proofErr w:type="spellEnd"/>
      <w:r w:rsidRPr="00514BED">
        <w:rPr>
          <w:rFonts w:ascii="Times New Roman" w:hAnsi="Times New Roman"/>
          <w:sz w:val="24"/>
          <w:szCs w:val="24"/>
          <w:lang w:val="en-US"/>
        </w:rPr>
        <w:t xml:space="preserve">, Arnaut, 2018; </w:t>
      </w:r>
      <w:proofErr w:type="spellStart"/>
      <w:r w:rsidRPr="00514BED">
        <w:rPr>
          <w:rFonts w:ascii="Times New Roman" w:hAnsi="Times New Roman"/>
          <w:sz w:val="24"/>
          <w:szCs w:val="24"/>
          <w:lang w:val="en-US"/>
        </w:rPr>
        <w:t>Tsareva</w:t>
      </w:r>
      <w:proofErr w:type="spellEnd"/>
      <w:r w:rsidRPr="00514BED">
        <w:rPr>
          <w:rFonts w:ascii="Times New Roman" w:hAnsi="Times New Roman"/>
          <w:sz w:val="24"/>
          <w:szCs w:val="24"/>
          <w:lang w:val="en-US"/>
        </w:rPr>
        <w:t xml:space="preserve"> N.A., 2020]. Quite often, according to the narrow-minded view, there is an opinion that remote regions are poorly funded, therefore they are not developed, and thus the population migrates</w:t>
      </w:r>
      <w:r w:rsidR="00B36D7C" w:rsidRPr="00514BED">
        <w:rPr>
          <w:rFonts w:ascii="Times New Roman" w:hAnsi="Times New Roman"/>
          <w:sz w:val="24"/>
          <w:szCs w:val="24"/>
          <w:lang w:val="en-US"/>
        </w:rPr>
        <w:t xml:space="preserve">. </w:t>
      </w:r>
    </w:p>
    <w:p w14:paraId="17453F59" w14:textId="77777777" w:rsidR="005442BF" w:rsidRDefault="002D047F" w:rsidP="00B36D7C">
      <w:pPr>
        <w:widowControl w:val="0"/>
        <w:spacing w:after="0" w:line="240" w:lineRule="auto"/>
        <w:jc w:val="center"/>
        <w:rPr>
          <w:rFonts w:ascii="Times New Roman" w:hAnsi="Times New Roman" w:cs="Times New Roman"/>
          <w:sz w:val="24"/>
          <w:szCs w:val="24"/>
        </w:rPr>
      </w:pPr>
      <w:r>
        <w:rPr>
          <w:noProof/>
          <w:lang w:eastAsia="ja-JP"/>
        </w:rPr>
        <w:drawing>
          <wp:inline distT="0" distB="0" distL="0" distR="0" wp14:anchorId="720C784D" wp14:editId="637011B0">
            <wp:extent cx="4867275" cy="222885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69BFC77" w14:textId="0C51E502" w:rsidR="00774DB6" w:rsidRPr="00B54A24" w:rsidRDefault="00B54A24" w:rsidP="00B54A24">
      <w:pPr>
        <w:widowControl w:val="0"/>
        <w:spacing w:after="0" w:line="240" w:lineRule="auto"/>
        <w:jc w:val="center"/>
        <w:rPr>
          <w:rFonts w:ascii="Times New Roman" w:hAnsi="Times New Roman"/>
          <w:sz w:val="24"/>
          <w:szCs w:val="24"/>
          <w:lang w:val="en-US"/>
        </w:rPr>
      </w:pPr>
      <w:r w:rsidRPr="00B54A24">
        <w:rPr>
          <w:rFonts w:ascii="Times New Roman" w:hAnsi="Times New Roman"/>
          <w:sz w:val="24"/>
          <w:szCs w:val="24"/>
          <w:lang w:val="en-US"/>
        </w:rPr>
        <w:t xml:space="preserve">Figure 1 - Dynamics of </w:t>
      </w:r>
      <w:proofErr w:type="spellStart"/>
      <w:r w:rsidRPr="00B54A24">
        <w:rPr>
          <w:rFonts w:ascii="Times New Roman" w:hAnsi="Times New Roman"/>
          <w:sz w:val="24"/>
          <w:szCs w:val="24"/>
          <w:lang w:val="en-US"/>
        </w:rPr>
        <w:t>Primorsky</w:t>
      </w:r>
      <w:proofErr w:type="spellEnd"/>
      <w:r w:rsidRPr="00B54A24">
        <w:rPr>
          <w:rFonts w:ascii="Times New Roman" w:hAnsi="Times New Roman"/>
          <w:sz w:val="24"/>
          <w:szCs w:val="24"/>
          <w:lang w:val="en-US"/>
        </w:rPr>
        <w:t xml:space="preserve"> Krai population, thousand people</w:t>
      </w:r>
    </w:p>
    <w:p w14:paraId="393157D8" w14:textId="703F3356" w:rsidR="00B36D7C" w:rsidRPr="00D62EA7" w:rsidRDefault="00D62EA7" w:rsidP="00774DB6">
      <w:pPr>
        <w:widowControl w:val="0"/>
        <w:spacing w:after="0" w:line="240" w:lineRule="auto"/>
        <w:ind w:firstLine="567"/>
        <w:jc w:val="both"/>
        <w:rPr>
          <w:rFonts w:ascii="Times New Roman" w:hAnsi="Times New Roman"/>
          <w:sz w:val="24"/>
          <w:szCs w:val="24"/>
          <w:lang w:val="en-US"/>
        </w:rPr>
      </w:pPr>
      <w:r w:rsidRPr="00D62EA7">
        <w:rPr>
          <w:rFonts w:ascii="Times New Roman" w:hAnsi="Times New Roman"/>
          <w:sz w:val="24"/>
          <w:szCs w:val="24"/>
          <w:lang w:val="en-US"/>
        </w:rPr>
        <w:t xml:space="preserve">But this is not always the main reason. The data of the Figure 1 demonstrate that the population of </w:t>
      </w:r>
      <w:proofErr w:type="spellStart"/>
      <w:r w:rsidRPr="00D62EA7">
        <w:rPr>
          <w:rFonts w:ascii="Times New Roman" w:hAnsi="Times New Roman"/>
          <w:sz w:val="24"/>
          <w:szCs w:val="24"/>
          <w:lang w:val="en-US"/>
        </w:rPr>
        <w:t>Primorsky</w:t>
      </w:r>
      <w:proofErr w:type="spellEnd"/>
      <w:r w:rsidRPr="00D62EA7">
        <w:rPr>
          <w:rFonts w:ascii="Times New Roman" w:hAnsi="Times New Roman"/>
          <w:sz w:val="24"/>
          <w:szCs w:val="24"/>
          <w:lang w:val="en-US"/>
        </w:rPr>
        <w:t xml:space="preserve"> Krai is declining rapidly. At the same time, the value of the gross regional product has an outlined positive trend (Figure 2 data, excluding the data from 2020 that have not been processed yet).</w:t>
      </w:r>
    </w:p>
    <w:p w14:paraId="3503C18D" w14:textId="77777777" w:rsidR="00774DB6" w:rsidRDefault="002D047F" w:rsidP="00774DB6">
      <w:pPr>
        <w:widowControl w:val="0"/>
        <w:spacing w:after="0" w:line="240" w:lineRule="auto"/>
        <w:jc w:val="center"/>
        <w:rPr>
          <w:rFonts w:ascii="Times New Roman" w:hAnsi="Times New Roman"/>
          <w:sz w:val="24"/>
          <w:szCs w:val="24"/>
        </w:rPr>
      </w:pPr>
      <w:r>
        <w:rPr>
          <w:noProof/>
          <w:lang w:eastAsia="ja-JP"/>
        </w:rPr>
        <w:drawing>
          <wp:inline distT="0" distB="0" distL="0" distR="0" wp14:anchorId="5D63868B" wp14:editId="4E2D7B21">
            <wp:extent cx="4629150" cy="19431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C250E05" w14:textId="4918AF39" w:rsidR="00774DB6" w:rsidRPr="00625566" w:rsidRDefault="00625566" w:rsidP="009706C8">
      <w:pPr>
        <w:widowControl w:val="0"/>
        <w:spacing w:after="0" w:line="240" w:lineRule="auto"/>
        <w:jc w:val="center"/>
        <w:rPr>
          <w:rFonts w:ascii="Times New Roman" w:hAnsi="Times New Roman"/>
          <w:sz w:val="24"/>
          <w:szCs w:val="24"/>
          <w:lang w:val="en-US"/>
        </w:rPr>
      </w:pPr>
      <w:r w:rsidRPr="00625566">
        <w:rPr>
          <w:rFonts w:ascii="Times New Roman" w:hAnsi="Times New Roman"/>
          <w:sz w:val="24"/>
          <w:szCs w:val="24"/>
          <w:lang w:val="en-US"/>
        </w:rPr>
        <w:t xml:space="preserve">Figure 2 - Gross regional product of </w:t>
      </w:r>
      <w:proofErr w:type="spellStart"/>
      <w:r w:rsidRPr="00625566">
        <w:rPr>
          <w:rFonts w:ascii="Times New Roman" w:hAnsi="Times New Roman"/>
          <w:sz w:val="24"/>
          <w:szCs w:val="24"/>
          <w:lang w:val="en-US"/>
        </w:rPr>
        <w:t>Primorsky</w:t>
      </w:r>
      <w:proofErr w:type="spellEnd"/>
      <w:r w:rsidRPr="00625566">
        <w:rPr>
          <w:rFonts w:ascii="Times New Roman" w:hAnsi="Times New Roman"/>
          <w:sz w:val="24"/>
          <w:szCs w:val="24"/>
          <w:lang w:val="en-US"/>
        </w:rPr>
        <w:t xml:space="preserve"> Krai, billion rubles</w:t>
      </w:r>
    </w:p>
    <w:p w14:paraId="6497C0D0" w14:textId="77777777" w:rsidR="009706C8" w:rsidRPr="00625566" w:rsidRDefault="009706C8" w:rsidP="009706C8">
      <w:pPr>
        <w:widowControl w:val="0"/>
        <w:spacing w:after="0" w:line="240" w:lineRule="auto"/>
        <w:jc w:val="center"/>
        <w:rPr>
          <w:rFonts w:ascii="Times New Roman" w:hAnsi="Times New Roman"/>
          <w:sz w:val="24"/>
          <w:szCs w:val="24"/>
          <w:lang w:val="en-US"/>
        </w:rPr>
      </w:pPr>
    </w:p>
    <w:p w14:paraId="2CCCD417" w14:textId="519492DF" w:rsidR="009706C8" w:rsidRPr="00625566" w:rsidRDefault="00625566" w:rsidP="009706C8">
      <w:pPr>
        <w:widowControl w:val="0"/>
        <w:spacing w:after="0" w:line="240" w:lineRule="auto"/>
        <w:ind w:firstLine="567"/>
        <w:jc w:val="both"/>
        <w:rPr>
          <w:rFonts w:ascii="Times New Roman" w:hAnsi="Times New Roman"/>
          <w:sz w:val="24"/>
          <w:szCs w:val="24"/>
          <w:lang w:val="en-US"/>
        </w:rPr>
      </w:pPr>
      <w:r w:rsidRPr="00625566">
        <w:rPr>
          <w:rFonts w:ascii="Times New Roman" w:hAnsi="Times New Roman"/>
          <w:sz w:val="24"/>
          <w:szCs w:val="24"/>
          <w:lang w:val="en-US"/>
        </w:rPr>
        <w:t>Also, the amount of budget expenditures for various purposes has a positive trend (Figure 3 data, excluding the unprocessed data of 2020)</w:t>
      </w:r>
      <w:r w:rsidR="009706C8" w:rsidRPr="00625566">
        <w:rPr>
          <w:rFonts w:ascii="Times New Roman" w:hAnsi="Times New Roman"/>
          <w:sz w:val="24"/>
          <w:szCs w:val="24"/>
          <w:lang w:val="en-US"/>
        </w:rPr>
        <w:t>.</w:t>
      </w:r>
    </w:p>
    <w:p w14:paraId="48F138BE" w14:textId="77777777" w:rsidR="00CD4625" w:rsidRDefault="002D047F" w:rsidP="009706C8">
      <w:pPr>
        <w:widowControl w:val="0"/>
        <w:spacing w:after="0" w:line="240" w:lineRule="auto"/>
        <w:jc w:val="center"/>
        <w:rPr>
          <w:rFonts w:ascii="Times New Roman" w:hAnsi="Times New Roman" w:cs="Times New Roman"/>
          <w:sz w:val="24"/>
          <w:szCs w:val="24"/>
        </w:rPr>
      </w:pPr>
      <w:r>
        <w:rPr>
          <w:noProof/>
          <w:lang w:eastAsia="ja-JP"/>
        </w:rPr>
        <w:lastRenderedPageBreak/>
        <w:drawing>
          <wp:inline distT="0" distB="0" distL="0" distR="0" wp14:anchorId="41D98BC3" wp14:editId="51D38B76">
            <wp:extent cx="6053455" cy="3514725"/>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91AA850" w14:textId="734946FB" w:rsidR="009706C8" w:rsidRPr="003E249A" w:rsidRDefault="003E249A" w:rsidP="009706C8">
      <w:pPr>
        <w:widowControl w:val="0"/>
        <w:spacing w:after="0" w:line="240" w:lineRule="auto"/>
        <w:jc w:val="center"/>
        <w:rPr>
          <w:rFonts w:ascii="Times New Roman" w:hAnsi="Times New Roman" w:cs="Times New Roman"/>
          <w:sz w:val="24"/>
          <w:szCs w:val="24"/>
          <w:lang w:val="en-US"/>
        </w:rPr>
      </w:pPr>
      <w:r w:rsidRPr="003E249A">
        <w:rPr>
          <w:rFonts w:ascii="Times New Roman" w:hAnsi="Times New Roman" w:cs="Times New Roman"/>
          <w:sz w:val="24"/>
          <w:szCs w:val="24"/>
          <w:lang w:val="en-US"/>
        </w:rPr>
        <w:t xml:space="preserve">Figure 3 - Actual expenditures of the </w:t>
      </w:r>
      <w:proofErr w:type="spellStart"/>
      <w:r w:rsidRPr="003E249A">
        <w:rPr>
          <w:rFonts w:ascii="Times New Roman" w:hAnsi="Times New Roman" w:cs="Times New Roman"/>
          <w:sz w:val="24"/>
          <w:szCs w:val="24"/>
          <w:lang w:val="en-US"/>
        </w:rPr>
        <w:t>Primorsky</w:t>
      </w:r>
      <w:proofErr w:type="spellEnd"/>
      <w:r w:rsidRPr="003E249A">
        <w:rPr>
          <w:rFonts w:ascii="Times New Roman" w:hAnsi="Times New Roman" w:cs="Times New Roman"/>
          <w:sz w:val="24"/>
          <w:szCs w:val="24"/>
          <w:lang w:val="en-US"/>
        </w:rPr>
        <w:t xml:space="preserve"> Territory budget by areas, billion rubles</w:t>
      </w:r>
      <w:r w:rsidR="009706C8" w:rsidRPr="003E249A">
        <w:rPr>
          <w:rFonts w:ascii="Times New Roman" w:hAnsi="Times New Roman" w:cs="Times New Roman"/>
          <w:sz w:val="24"/>
          <w:szCs w:val="24"/>
          <w:lang w:val="en-US"/>
        </w:rPr>
        <w:t xml:space="preserve">.  </w:t>
      </w:r>
    </w:p>
    <w:p w14:paraId="3EB7F65B" w14:textId="77777777" w:rsidR="00330DE4" w:rsidRPr="003E249A" w:rsidRDefault="00330DE4" w:rsidP="00330DE4">
      <w:pPr>
        <w:widowControl w:val="0"/>
        <w:spacing w:after="0" w:line="240" w:lineRule="auto"/>
        <w:ind w:firstLine="709"/>
        <w:jc w:val="both"/>
        <w:rPr>
          <w:rFonts w:ascii="Times New Roman" w:hAnsi="Times New Roman" w:cs="Times New Roman"/>
          <w:sz w:val="24"/>
          <w:szCs w:val="24"/>
          <w:lang w:val="en-US"/>
        </w:rPr>
      </w:pPr>
    </w:p>
    <w:p w14:paraId="3272CD1D" w14:textId="5679EB5E" w:rsidR="007D1C75" w:rsidRPr="003E249A" w:rsidRDefault="003E249A" w:rsidP="00330DE4">
      <w:pPr>
        <w:widowControl w:val="0"/>
        <w:spacing w:after="0" w:line="240" w:lineRule="auto"/>
        <w:ind w:firstLine="709"/>
        <w:jc w:val="both"/>
        <w:rPr>
          <w:rFonts w:ascii="Times New Roman" w:hAnsi="Times New Roman" w:cs="Times New Roman"/>
          <w:b/>
          <w:sz w:val="24"/>
          <w:szCs w:val="24"/>
          <w:lang w:val="en-US"/>
        </w:rPr>
      </w:pPr>
      <w:r>
        <w:rPr>
          <w:rFonts w:ascii="Times New Roman" w:hAnsi="Times New Roman" w:cs="Times New Roman"/>
          <w:b/>
          <w:sz w:val="24"/>
          <w:szCs w:val="24"/>
          <w:lang w:val="en-US"/>
        </w:rPr>
        <w:t>Discussion</w:t>
      </w:r>
    </w:p>
    <w:p w14:paraId="34392CE7" w14:textId="77777777" w:rsidR="00BA3365" w:rsidRPr="00BA3365" w:rsidRDefault="00BA3365" w:rsidP="00BA3365">
      <w:pPr>
        <w:widowControl w:val="0"/>
        <w:spacing w:after="0" w:line="240" w:lineRule="auto"/>
        <w:ind w:firstLine="709"/>
        <w:jc w:val="both"/>
        <w:rPr>
          <w:rFonts w:ascii="Times New Roman" w:hAnsi="Times New Roman" w:cs="Times New Roman"/>
          <w:sz w:val="24"/>
          <w:szCs w:val="24"/>
          <w:lang w:val="en-US"/>
        </w:rPr>
      </w:pPr>
      <w:r w:rsidRPr="00BA3365">
        <w:rPr>
          <w:rFonts w:ascii="Times New Roman" w:hAnsi="Times New Roman" w:cs="Times New Roman"/>
          <w:sz w:val="24"/>
          <w:szCs w:val="24"/>
          <w:lang w:val="en-US"/>
        </w:rPr>
        <w:t>Returning to the data of Figure 1, we note that despite a set of preferences of state and local authorities in the form of tax benefits, regional development programs, subsidies, grants, property support projects, etc. the values of the population loss of the region are considerably high (internal migration is still increasing, people move from remote regions and the regions with low competitiveness to the central FD).</w:t>
      </w:r>
    </w:p>
    <w:p w14:paraId="4A9C1D94" w14:textId="10AB5413" w:rsidR="00154D49" w:rsidRPr="00BA3365" w:rsidRDefault="00BA3365" w:rsidP="00BA3365">
      <w:pPr>
        <w:widowControl w:val="0"/>
        <w:spacing w:after="0" w:line="240" w:lineRule="auto"/>
        <w:ind w:firstLine="709"/>
        <w:jc w:val="both"/>
        <w:rPr>
          <w:rFonts w:ascii="Times New Roman" w:hAnsi="Times New Roman" w:cs="Times New Roman"/>
          <w:bCs/>
          <w:sz w:val="24"/>
          <w:szCs w:val="24"/>
          <w:lang w:val="en-US"/>
        </w:rPr>
      </w:pPr>
      <w:r w:rsidRPr="00BA3365">
        <w:rPr>
          <w:rFonts w:ascii="Times New Roman" w:hAnsi="Times New Roman" w:cs="Times New Roman"/>
          <w:sz w:val="24"/>
          <w:szCs w:val="24"/>
          <w:lang w:val="en-US"/>
        </w:rPr>
        <w:t>In this regard, the solution to the problem must be sought not in additional funding (the data of Figure 2 and 3 show that this is not enough), but in high-quality, constant work with the population for human capital development (so that people stay, gain a foothold in the territory, knowing that they have a future and prospects). After all, it is work with people, with their interests, the development of human capital qualitative properties, that can become a catalyst for population entrepreneurial activity increase, the cause of unemployment reduction, raising the level of population social well-being, increasing tax revenues to the budget of the country and its subjects, and lowering the consumer price index. These factors indicated in their totality will lead to the territory competitiveness increase, and then to the country competitiveness increase in the future</w:t>
      </w:r>
      <w:r w:rsidR="00943996" w:rsidRPr="00BA3365">
        <w:rPr>
          <w:rFonts w:ascii="Times New Roman" w:hAnsi="Times New Roman" w:cs="Times New Roman"/>
          <w:bCs/>
          <w:sz w:val="24"/>
          <w:szCs w:val="24"/>
          <w:lang w:val="en-US"/>
        </w:rPr>
        <w:t>.</w:t>
      </w:r>
    </w:p>
    <w:p w14:paraId="62278CDB" w14:textId="77777777" w:rsidR="00A21CDA" w:rsidRPr="00BA3365" w:rsidRDefault="00A21CDA" w:rsidP="00330DE4">
      <w:pPr>
        <w:widowControl w:val="0"/>
        <w:spacing w:after="0" w:line="240" w:lineRule="auto"/>
        <w:ind w:firstLine="709"/>
        <w:jc w:val="both"/>
        <w:rPr>
          <w:rFonts w:ascii="Times New Roman" w:hAnsi="Times New Roman" w:cs="Times New Roman"/>
          <w:bCs/>
          <w:sz w:val="24"/>
          <w:szCs w:val="24"/>
          <w:lang w:val="en-US"/>
        </w:rPr>
      </w:pPr>
    </w:p>
    <w:p w14:paraId="2253A273" w14:textId="6B74F466" w:rsidR="00A21CDA" w:rsidRPr="00BA3365" w:rsidRDefault="00BA3365" w:rsidP="00A21CDA">
      <w:pPr>
        <w:spacing w:after="0" w:line="240" w:lineRule="auto"/>
        <w:ind w:firstLine="720"/>
        <w:jc w:val="both"/>
        <w:rPr>
          <w:rFonts w:ascii="Times New Roman" w:hAnsi="Times New Roman" w:cs="Times New Roman"/>
          <w:b/>
          <w:sz w:val="24"/>
          <w:szCs w:val="24"/>
          <w:lang w:val="en-US"/>
        </w:rPr>
      </w:pPr>
      <w:r>
        <w:rPr>
          <w:rFonts w:ascii="Times New Roman" w:hAnsi="Times New Roman" w:cs="Times New Roman"/>
          <w:b/>
          <w:sz w:val="24"/>
          <w:szCs w:val="24"/>
          <w:lang w:val="en-US"/>
        </w:rPr>
        <w:t>Summary</w:t>
      </w:r>
    </w:p>
    <w:p w14:paraId="7D8BD709" w14:textId="5C986516" w:rsidR="0093462A" w:rsidRPr="00EC2774" w:rsidRDefault="00EC2774" w:rsidP="0093462A">
      <w:pPr>
        <w:spacing w:after="0" w:line="240" w:lineRule="auto"/>
        <w:ind w:firstLine="720"/>
        <w:jc w:val="both"/>
        <w:rPr>
          <w:rFonts w:ascii="Times New Roman" w:hAnsi="Times New Roman" w:cs="Times New Roman"/>
          <w:sz w:val="24"/>
          <w:szCs w:val="24"/>
          <w:lang w:val="en-US"/>
        </w:rPr>
      </w:pPr>
      <w:r w:rsidRPr="00EC2774">
        <w:rPr>
          <w:rFonts w:ascii="Times New Roman" w:hAnsi="Times New Roman" w:cs="Times New Roman"/>
          <w:sz w:val="24"/>
          <w:szCs w:val="24"/>
          <w:lang w:val="en-US"/>
        </w:rPr>
        <w:t>In the article, the authors determined that there are many interpretations and assessment methods according to the current state of research in the field of human capital development and the territory competitiveness. Some of them are aimed at integral indicator determination, others at rating estimate determination, and some are based on the rank method and the method of potential measuring. Moreover, most of the authors agree on the use of the same indicators. These indicators formed the basis for the authors of the article proof of the position that the specificity of human capital development can be both a deterrent and an activating factor for a territory competitiveness increase</w:t>
      </w:r>
      <w:r w:rsidR="0093462A" w:rsidRPr="00EC2774">
        <w:rPr>
          <w:rFonts w:ascii="Times New Roman" w:hAnsi="Times New Roman" w:cs="Times New Roman"/>
          <w:sz w:val="24"/>
          <w:szCs w:val="24"/>
          <w:lang w:val="en-US"/>
        </w:rPr>
        <w:t xml:space="preserve">. </w:t>
      </w:r>
    </w:p>
    <w:p w14:paraId="78C57C7C" w14:textId="77777777" w:rsidR="00A21CDA" w:rsidRPr="00EC2774" w:rsidRDefault="00A21CDA" w:rsidP="00330DE4">
      <w:pPr>
        <w:widowControl w:val="0"/>
        <w:spacing w:after="0" w:line="240" w:lineRule="auto"/>
        <w:ind w:firstLine="709"/>
        <w:jc w:val="both"/>
        <w:rPr>
          <w:rFonts w:ascii="Times New Roman" w:hAnsi="Times New Roman" w:cs="Times New Roman"/>
          <w:bCs/>
          <w:sz w:val="24"/>
          <w:szCs w:val="24"/>
          <w:lang w:val="en-US"/>
        </w:rPr>
      </w:pPr>
    </w:p>
    <w:p w14:paraId="4B45A9F1" w14:textId="1141A529" w:rsidR="00A21CDA" w:rsidRPr="00EC2774" w:rsidRDefault="00EC2774" w:rsidP="00A21CDA">
      <w:pPr>
        <w:spacing w:after="0" w:line="240" w:lineRule="auto"/>
        <w:ind w:firstLine="720"/>
        <w:jc w:val="both"/>
        <w:rPr>
          <w:rFonts w:ascii="Times New Roman" w:hAnsi="Times New Roman" w:cs="Times New Roman"/>
          <w:b/>
          <w:sz w:val="24"/>
          <w:szCs w:val="24"/>
          <w:lang w:val="en-US"/>
        </w:rPr>
      </w:pPr>
      <w:proofErr w:type="spellStart"/>
      <w:r>
        <w:rPr>
          <w:rFonts w:ascii="Times New Roman" w:hAnsi="Times New Roman" w:cs="Times New Roman"/>
          <w:b/>
          <w:sz w:val="24"/>
          <w:szCs w:val="24"/>
          <w:lang w:val="en-US"/>
        </w:rPr>
        <w:t>Refrences</w:t>
      </w:r>
      <w:proofErr w:type="spellEnd"/>
    </w:p>
    <w:p w14:paraId="4A9556FF" w14:textId="77777777" w:rsidR="006D1F1A" w:rsidRPr="006D1F1A" w:rsidRDefault="006D1F1A" w:rsidP="006D1F1A">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proofErr w:type="spellStart"/>
      <w:r w:rsidRPr="006D1F1A">
        <w:rPr>
          <w:rFonts w:ascii="Times New Roman" w:hAnsi="Times New Roman" w:cs="Times New Roman"/>
          <w:bCs/>
          <w:sz w:val="24"/>
          <w:szCs w:val="24"/>
          <w:lang w:val="en-US"/>
        </w:rPr>
        <w:t>Botina</w:t>
      </w:r>
      <w:proofErr w:type="spellEnd"/>
      <w:r w:rsidRPr="006D1F1A">
        <w:rPr>
          <w:rFonts w:ascii="Times New Roman" w:hAnsi="Times New Roman" w:cs="Times New Roman"/>
          <w:bCs/>
          <w:sz w:val="24"/>
          <w:szCs w:val="24"/>
          <w:lang w:val="en-US"/>
        </w:rPr>
        <w:t xml:space="preserve"> E. N., </w:t>
      </w:r>
      <w:proofErr w:type="spellStart"/>
      <w:r w:rsidRPr="006D1F1A">
        <w:rPr>
          <w:rFonts w:ascii="Times New Roman" w:hAnsi="Times New Roman" w:cs="Times New Roman"/>
          <w:bCs/>
          <w:sz w:val="24"/>
          <w:szCs w:val="24"/>
          <w:lang w:val="en-US"/>
        </w:rPr>
        <w:t>Kharlamova</w:t>
      </w:r>
      <w:proofErr w:type="spellEnd"/>
      <w:r w:rsidRPr="006D1F1A">
        <w:rPr>
          <w:rFonts w:ascii="Times New Roman" w:hAnsi="Times New Roman" w:cs="Times New Roman"/>
          <w:bCs/>
          <w:sz w:val="24"/>
          <w:szCs w:val="24"/>
          <w:lang w:val="en-US"/>
        </w:rPr>
        <w:t xml:space="preserve"> A. O., (2018), "Analysis of various methods for assessing the competitiveness of the territory", Topical issues of modern science: a collection of articles based on the materials of the XI International Scientific and practical conference. In 2 parts", Tomsk, Russia, April 24, 2018, pp. 246-251</w:t>
      </w:r>
    </w:p>
    <w:p w14:paraId="5E37434F" w14:textId="77777777" w:rsidR="006D1F1A" w:rsidRPr="006D1F1A" w:rsidRDefault="006D1F1A" w:rsidP="006D1F1A">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proofErr w:type="spellStart"/>
      <w:r w:rsidRPr="006D1F1A">
        <w:rPr>
          <w:rFonts w:ascii="Times New Roman" w:hAnsi="Times New Roman" w:cs="Times New Roman"/>
          <w:bCs/>
          <w:sz w:val="24"/>
          <w:szCs w:val="24"/>
          <w:lang w:val="en-US"/>
        </w:rPr>
        <w:lastRenderedPageBreak/>
        <w:t>Dobrovinsky</w:t>
      </w:r>
      <w:proofErr w:type="spellEnd"/>
      <w:r w:rsidRPr="006D1F1A">
        <w:rPr>
          <w:rFonts w:ascii="Times New Roman" w:hAnsi="Times New Roman" w:cs="Times New Roman"/>
          <w:bCs/>
          <w:sz w:val="24"/>
          <w:szCs w:val="24"/>
          <w:lang w:val="en-US"/>
        </w:rPr>
        <w:t xml:space="preserve"> A. P., Demyanenko Yu. V., (2011), "Assessment of human capital in the activities of commercial organizations", </w:t>
      </w:r>
      <w:proofErr w:type="spellStart"/>
      <w:r w:rsidRPr="006D1F1A">
        <w:rPr>
          <w:rFonts w:ascii="Times New Roman" w:hAnsi="Times New Roman" w:cs="Times New Roman"/>
          <w:bCs/>
          <w:sz w:val="24"/>
          <w:szCs w:val="24"/>
          <w:lang w:val="en-US"/>
        </w:rPr>
        <w:t>Izvestiya</w:t>
      </w:r>
      <w:proofErr w:type="spellEnd"/>
      <w:r w:rsidRPr="006D1F1A">
        <w:rPr>
          <w:rFonts w:ascii="Times New Roman" w:hAnsi="Times New Roman" w:cs="Times New Roman"/>
          <w:bCs/>
          <w:sz w:val="24"/>
          <w:szCs w:val="24"/>
          <w:lang w:val="en-US"/>
        </w:rPr>
        <w:t xml:space="preserve"> Tomsk Polytechnic University, volume 319, no. 6, pp. 64-69</w:t>
      </w:r>
    </w:p>
    <w:p w14:paraId="091E2344" w14:textId="77777777" w:rsidR="006D1F1A" w:rsidRPr="006D1F1A" w:rsidRDefault="006D1F1A" w:rsidP="006D1F1A">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proofErr w:type="spellStart"/>
      <w:r w:rsidRPr="006D1F1A">
        <w:rPr>
          <w:rFonts w:ascii="Times New Roman" w:hAnsi="Times New Roman" w:cs="Times New Roman"/>
          <w:bCs/>
          <w:sz w:val="24"/>
          <w:szCs w:val="24"/>
          <w:lang w:val="en-US"/>
        </w:rPr>
        <w:t>Gafarova</w:t>
      </w:r>
      <w:proofErr w:type="spellEnd"/>
      <w:r w:rsidRPr="006D1F1A">
        <w:rPr>
          <w:rFonts w:ascii="Times New Roman" w:hAnsi="Times New Roman" w:cs="Times New Roman"/>
          <w:bCs/>
          <w:sz w:val="24"/>
          <w:szCs w:val="24"/>
          <w:lang w:val="en-US"/>
        </w:rPr>
        <w:t xml:space="preserve"> E. A., Kantor O. G., (2018), "Methods of assessing regional human capital: review of approaches", Bulletin of the Samara State University of Economics, no. 7, pp. 54-60</w:t>
      </w:r>
    </w:p>
    <w:p w14:paraId="643B9AF4" w14:textId="77777777" w:rsidR="006D1F1A" w:rsidRPr="006D1F1A" w:rsidRDefault="006D1F1A" w:rsidP="006D1F1A">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proofErr w:type="spellStart"/>
      <w:r w:rsidRPr="006D1F1A">
        <w:rPr>
          <w:rFonts w:ascii="Times New Roman" w:hAnsi="Times New Roman" w:cs="Times New Roman"/>
          <w:bCs/>
          <w:sz w:val="24"/>
          <w:szCs w:val="24"/>
          <w:lang w:val="en-US"/>
        </w:rPr>
        <w:t>Gerasimenko</w:t>
      </w:r>
      <w:proofErr w:type="spellEnd"/>
      <w:r w:rsidRPr="006D1F1A">
        <w:rPr>
          <w:rFonts w:ascii="Times New Roman" w:hAnsi="Times New Roman" w:cs="Times New Roman"/>
          <w:bCs/>
          <w:sz w:val="24"/>
          <w:szCs w:val="24"/>
          <w:lang w:val="en-US"/>
        </w:rPr>
        <w:t xml:space="preserve"> A. A., (2017), "Methods of assessing human capital in an organization", Finance, economics and management: problems, trends and prospects of development in conditions of instability: annual interuniversity regional scientific and practical conference of students, undergraduates and postgraduates, within the framework of the VIII International Scientific Student Congress" Russia: from Crisis to Sustainable Development: Resources, Constraints, Risks, Moscow, Russia, April 14, 2017, pp. 71-73</w:t>
      </w:r>
    </w:p>
    <w:p w14:paraId="5DB465C5" w14:textId="77777777" w:rsidR="006D1F1A" w:rsidRPr="006D1F1A" w:rsidRDefault="006D1F1A" w:rsidP="006D1F1A">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proofErr w:type="spellStart"/>
      <w:r w:rsidRPr="006D1F1A">
        <w:rPr>
          <w:rFonts w:ascii="Times New Roman" w:hAnsi="Times New Roman" w:cs="Times New Roman"/>
          <w:bCs/>
          <w:sz w:val="24"/>
          <w:szCs w:val="24"/>
          <w:lang w:val="en-US"/>
        </w:rPr>
        <w:t>Koloskova</w:t>
      </w:r>
      <w:proofErr w:type="spellEnd"/>
      <w:r w:rsidRPr="006D1F1A">
        <w:rPr>
          <w:rFonts w:ascii="Times New Roman" w:hAnsi="Times New Roman" w:cs="Times New Roman"/>
          <w:bCs/>
          <w:sz w:val="24"/>
          <w:szCs w:val="24"/>
          <w:lang w:val="en-US"/>
        </w:rPr>
        <w:t xml:space="preserve"> Yu. I., (2016), "Methodology for assessing the human capital of rural territories", Socio-economic and Humanitarian Journal of the Krasnoyarsk State Agrarian University, no. 4 (4), pp. 115-132</w:t>
      </w:r>
    </w:p>
    <w:p w14:paraId="6CB11C51" w14:textId="77777777" w:rsidR="006D1F1A" w:rsidRPr="006D1F1A" w:rsidRDefault="006D1F1A" w:rsidP="006D1F1A">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proofErr w:type="spellStart"/>
      <w:r w:rsidRPr="006D1F1A">
        <w:rPr>
          <w:rFonts w:ascii="Times New Roman" w:hAnsi="Times New Roman" w:cs="Times New Roman"/>
          <w:bCs/>
          <w:sz w:val="24"/>
          <w:szCs w:val="24"/>
          <w:lang w:val="en-US"/>
        </w:rPr>
        <w:t>Kostyleva</w:t>
      </w:r>
      <w:proofErr w:type="spellEnd"/>
      <w:r w:rsidRPr="006D1F1A">
        <w:rPr>
          <w:rFonts w:ascii="Times New Roman" w:hAnsi="Times New Roman" w:cs="Times New Roman"/>
          <w:bCs/>
          <w:sz w:val="24"/>
          <w:szCs w:val="24"/>
          <w:lang w:val="en-US"/>
        </w:rPr>
        <w:t xml:space="preserve"> N. E., (2005), "Innovative methods for improving the competitiveness of cities and regions", available at: https://www.elibrary.ru/item.asp?id=19775004, (Accessed 03.01.2021)</w:t>
      </w:r>
    </w:p>
    <w:p w14:paraId="619842E3" w14:textId="77777777" w:rsidR="006D1F1A" w:rsidRPr="006D1F1A" w:rsidRDefault="006D1F1A" w:rsidP="006D1F1A">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proofErr w:type="spellStart"/>
      <w:r w:rsidRPr="006D1F1A">
        <w:rPr>
          <w:rFonts w:ascii="Times New Roman" w:hAnsi="Times New Roman" w:cs="Times New Roman"/>
          <w:bCs/>
          <w:sz w:val="24"/>
          <w:szCs w:val="24"/>
          <w:lang w:val="en-US"/>
        </w:rPr>
        <w:t>Leonova</w:t>
      </w:r>
      <w:proofErr w:type="spellEnd"/>
      <w:r w:rsidRPr="006D1F1A">
        <w:rPr>
          <w:rFonts w:ascii="Times New Roman" w:hAnsi="Times New Roman" w:cs="Times New Roman"/>
          <w:bCs/>
          <w:sz w:val="24"/>
          <w:szCs w:val="24"/>
          <w:lang w:val="en-US"/>
        </w:rPr>
        <w:t xml:space="preserve"> N. A., (2006), "Competitiveness of the territory: concept, factors, evaluation", Bulletin of the Chelyabinsk State University, no 5, pp. 56-58</w:t>
      </w:r>
    </w:p>
    <w:p w14:paraId="294AFB39" w14:textId="77777777" w:rsidR="006D1F1A" w:rsidRPr="006D1F1A" w:rsidRDefault="006D1F1A" w:rsidP="006D1F1A">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proofErr w:type="spellStart"/>
      <w:r w:rsidRPr="006D1F1A">
        <w:rPr>
          <w:rFonts w:ascii="Times New Roman" w:hAnsi="Times New Roman" w:cs="Times New Roman"/>
          <w:bCs/>
          <w:sz w:val="24"/>
          <w:szCs w:val="24"/>
          <w:lang w:val="en-US"/>
        </w:rPr>
        <w:t>Rodaykina</w:t>
      </w:r>
      <w:proofErr w:type="spellEnd"/>
      <w:r w:rsidRPr="006D1F1A">
        <w:rPr>
          <w:rFonts w:ascii="Times New Roman" w:hAnsi="Times New Roman" w:cs="Times New Roman"/>
          <w:bCs/>
          <w:sz w:val="24"/>
          <w:szCs w:val="24"/>
          <w:lang w:val="en-US"/>
        </w:rPr>
        <w:t xml:space="preserve"> M. A., (2008), "The impact of the competitiveness of construction organizations on the sustainable development of the territory", available at: https://www.dissercat.com/content/vliyanie-konkurentosposobnosti-stroitelnykh-organizatsii-na-ustoichivoe-razvitie-territorii, (Accessed 03.01.2021)</w:t>
      </w:r>
    </w:p>
    <w:p w14:paraId="3C947DBE" w14:textId="77777777" w:rsidR="006D1F1A" w:rsidRPr="006D1F1A" w:rsidRDefault="006D1F1A" w:rsidP="006D1F1A">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r w:rsidRPr="006D1F1A">
        <w:rPr>
          <w:rFonts w:ascii="Times New Roman" w:hAnsi="Times New Roman" w:cs="Times New Roman"/>
          <w:bCs/>
          <w:sz w:val="24"/>
          <w:szCs w:val="24"/>
          <w:lang w:val="en-US"/>
        </w:rPr>
        <w:t xml:space="preserve">Semenov D. V., </w:t>
      </w:r>
      <w:proofErr w:type="spellStart"/>
      <w:r w:rsidRPr="006D1F1A">
        <w:rPr>
          <w:rFonts w:ascii="Times New Roman" w:hAnsi="Times New Roman" w:cs="Times New Roman"/>
          <w:bCs/>
          <w:sz w:val="24"/>
          <w:szCs w:val="24"/>
          <w:lang w:val="en-US"/>
        </w:rPr>
        <w:t>Golovtsova</w:t>
      </w:r>
      <w:proofErr w:type="spellEnd"/>
      <w:r w:rsidRPr="006D1F1A">
        <w:rPr>
          <w:rFonts w:ascii="Times New Roman" w:hAnsi="Times New Roman" w:cs="Times New Roman"/>
          <w:bCs/>
          <w:sz w:val="24"/>
          <w:szCs w:val="24"/>
          <w:lang w:val="en-US"/>
        </w:rPr>
        <w:t xml:space="preserve"> I. G., (2016), "Evaluation of human capital as one of the ways to improve the quality of goods", National concepts of quality: improving the quality of life: Collection of materials of the VII International Scientific and Practical conference, St. Petersburg, Russia, no. 16-20, 2016, pp. 138-140</w:t>
      </w:r>
    </w:p>
    <w:p w14:paraId="27A8B92B" w14:textId="77777777" w:rsidR="006D1F1A" w:rsidRPr="006D1F1A" w:rsidRDefault="006D1F1A" w:rsidP="00642CCB">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proofErr w:type="spellStart"/>
      <w:r w:rsidRPr="006D1F1A">
        <w:rPr>
          <w:rFonts w:ascii="Times New Roman" w:hAnsi="Times New Roman" w:cs="Times New Roman"/>
          <w:bCs/>
          <w:sz w:val="24"/>
          <w:szCs w:val="24"/>
          <w:lang w:val="en-US"/>
        </w:rPr>
        <w:t>Shash</w:t>
      </w:r>
      <w:proofErr w:type="spellEnd"/>
      <w:r w:rsidRPr="006D1F1A">
        <w:rPr>
          <w:rFonts w:ascii="Times New Roman" w:hAnsi="Times New Roman" w:cs="Times New Roman"/>
          <w:bCs/>
          <w:sz w:val="24"/>
          <w:szCs w:val="24"/>
          <w:lang w:val="en-US"/>
        </w:rPr>
        <w:t xml:space="preserve"> N. N. (2006), "Measuring the human capital of a company", Bulletin of the Saratov State Technical University, volume 4, no. 1 (16), pp. 209-213</w:t>
      </w:r>
    </w:p>
    <w:p w14:paraId="0ED4639E" w14:textId="77777777" w:rsidR="00642CCB" w:rsidRPr="00642CCB" w:rsidRDefault="006D1F1A" w:rsidP="00642CCB">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proofErr w:type="spellStart"/>
      <w:r w:rsidRPr="00642CCB">
        <w:rPr>
          <w:rFonts w:ascii="Times New Roman" w:hAnsi="Times New Roman" w:cs="Times New Roman"/>
          <w:bCs/>
          <w:sz w:val="24"/>
          <w:szCs w:val="24"/>
          <w:lang w:val="en-US"/>
        </w:rPr>
        <w:t>Sycheva</w:t>
      </w:r>
      <w:proofErr w:type="spellEnd"/>
      <w:r w:rsidRPr="00642CCB">
        <w:rPr>
          <w:rFonts w:ascii="Times New Roman" w:hAnsi="Times New Roman" w:cs="Times New Roman"/>
          <w:bCs/>
          <w:sz w:val="24"/>
          <w:szCs w:val="24"/>
          <w:lang w:val="en-US"/>
        </w:rPr>
        <w:t xml:space="preserve"> A.V., (2013), "Research on the competitiveness of the territory-city", Approbation, no. 10 (13), pp. 63-67</w:t>
      </w:r>
      <w:r w:rsidR="00642CCB" w:rsidRPr="00642CCB">
        <w:rPr>
          <w:rFonts w:ascii="Times New Roman" w:hAnsi="Times New Roman" w:cs="Times New Roman"/>
          <w:bCs/>
          <w:sz w:val="24"/>
          <w:szCs w:val="24"/>
          <w:lang w:val="en-US"/>
        </w:rPr>
        <w:t xml:space="preserve"> </w:t>
      </w:r>
    </w:p>
    <w:p w14:paraId="04FE5255" w14:textId="77777777" w:rsidR="00385083" w:rsidRPr="00385083" w:rsidRDefault="00EE7D38" w:rsidP="00EE7D38">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proofErr w:type="spellStart"/>
      <w:r w:rsidRPr="00EE7D38">
        <w:rPr>
          <w:rFonts w:ascii="Times New Roman" w:hAnsi="Times New Roman" w:cs="Times New Roman"/>
          <w:bCs/>
          <w:sz w:val="24"/>
          <w:szCs w:val="24"/>
          <w:lang w:val="en-US"/>
        </w:rPr>
        <w:t>Koren</w:t>
      </w:r>
      <w:proofErr w:type="spellEnd"/>
      <w:r w:rsidRPr="00EE7D38">
        <w:rPr>
          <w:rFonts w:ascii="Times New Roman" w:hAnsi="Times New Roman" w:cs="Times New Roman"/>
          <w:bCs/>
          <w:sz w:val="24"/>
          <w:szCs w:val="24"/>
          <w:lang w:val="en-US"/>
        </w:rPr>
        <w:t xml:space="preserve">, A., </w:t>
      </w:r>
      <w:proofErr w:type="spellStart"/>
      <w:r w:rsidRPr="00EE7D38">
        <w:rPr>
          <w:rFonts w:ascii="Times New Roman" w:hAnsi="Times New Roman" w:cs="Times New Roman"/>
          <w:bCs/>
          <w:sz w:val="24"/>
          <w:szCs w:val="24"/>
          <w:lang w:val="en-US"/>
        </w:rPr>
        <w:t>Bondarenko</w:t>
      </w:r>
      <w:proofErr w:type="spellEnd"/>
      <w:r w:rsidRPr="00EE7D38">
        <w:rPr>
          <w:rFonts w:ascii="Times New Roman" w:hAnsi="Times New Roman" w:cs="Times New Roman"/>
          <w:bCs/>
          <w:sz w:val="24"/>
          <w:szCs w:val="24"/>
          <w:lang w:val="en-US"/>
        </w:rPr>
        <w:t xml:space="preserve">, T., &amp; </w:t>
      </w:r>
      <w:proofErr w:type="spellStart"/>
      <w:r w:rsidRPr="00EE7D38">
        <w:rPr>
          <w:rFonts w:ascii="Times New Roman" w:hAnsi="Times New Roman" w:cs="Times New Roman"/>
          <w:bCs/>
          <w:sz w:val="24"/>
          <w:szCs w:val="24"/>
          <w:lang w:val="en-US"/>
        </w:rPr>
        <w:t>Pustovarov</w:t>
      </w:r>
      <w:proofErr w:type="spellEnd"/>
      <w:r w:rsidRPr="00EE7D38">
        <w:rPr>
          <w:rFonts w:ascii="Times New Roman" w:hAnsi="Times New Roman" w:cs="Times New Roman"/>
          <w:bCs/>
          <w:sz w:val="24"/>
          <w:szCs w:val="24"/>
          <w:lang w:val="en-US"/>
        </w:rPr>
        <w:t xml:space="preserve">, A. (2020). Human wellbeing as the main factor of economic growth. Universidad Y Sociedad, 12(5), 172-177. </w:t>
      </w:r>
      <w:proofErr w:type="spellStart"/>
      <w:r w:rsidRPr="00EE7D38">
        <w:rPr>
          <w:rFonts w:ascii="Times New Roman" w:hAnsi="Times New Roman" w:cs="Times New Roman"/>
          <w:bCs/>
          <w:sz w:val="24"/>
          <w:szCs w:val="24"/>
          <w:lang w:val="en-US"/>
        </w:rPr>
        <w:t>Recuperado</w:t>
      </w:r>
      <w:proofErr w:type="spellEnd"/>
      <w:r w:rsidRPr="00EE7D38">
        <w:rPr>
          <w:rFonts w:ascii="Times New Roman" w:hAnsi="Times New Roman" w:cs="Times New Roman"/>
          <w:bCs/>
          <w:sz w:val="24"/>
          <w:szCs w:val="24"/>
          <w:lang w:val="en-US"/>
        </w:rPr>
        <w:t xml:space="preserve"> a </w:t>
      </w:r>
      <w:proofErr w:type="spellStart"/>
      <w:r w:rsidRPr="00EE7D38">
        <w:rPr>
          <w:rFonts w:ascii="Times New Roman" w:hAnsi="Times New Roman" w:cs="Times New Roman"/>
          <w:bCs/>
          <w:sz w:val="24"/>
          <w:szCs w:val="24"/>
          <w:lang w:val="en-US"/>
        </w:rPr>
        <w:t>partir</w:t>
      </w:r>
      <w:proofErr w:type="spellEnd"/>
      <w:r w:rsidRPr="00EE7D38">
        <w:rPr>
          <w:rFonts w:ascii="Times New Roman" w:hAnsi="Times New Roman" w:cs="Times New Roman"/>
          <w:bCs/>
          <w:sz w:val="24"/>
          <w:szCs w:val="24"/>
          <w:lang w:val="en-US"/>
        </w:rPr>
        <w:t xml:space="preserve"> de https://rus.ucf.edu.cu/index.php/rus/article/view/1695</w:t>
      </w:r>
      <w:r w:rsidR="00385083" w:rsidRPr="00385083">
        <w:rPr>
          <w:rFonts w:ascii="Times New Roman" w:hAnsi="Times New Roman" w:cs="Times New Roman"/>
          <w:bCs/>
          <w:sz w:val="24"/>
          <w:szCs w:val="24"/>
          <w:lang w:val="en-US"/>
        </w:rPr>
        <w:t>.</w:t>
      </w:r>
    </w:p>
    <w:p w14:paraId="2BA9479E" w14:textId="77777777" w:rsidR="00642CCB" w:rsidRPr="00955372" w:rsidRDefault="00EE7D38" w:rsidP="00EE7D38">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r w:rsidRPr="00EE7D38">
        <w:rPr>
          <w:rFonts w:ascii="Times New Roman" w:hAnsi="Times New Roman" w:cs="Times New Roman"/>
          <w:bCs/>
          <w:sz w:val="24"/>
          <w:szCs w:val="24"/>
          <w:lang w:val="en-US"/>
        </w:rPr>
        <w:t xml:space="preserve">Andreev V. A., </w:t>
      </w:r>
      <w:proofErr w:type="spellStart"/>
      <w:r w:rsidRPr="00EE7D38">
        <w:rPr>
          <w:rFonts w:ascii="Times New Roman" w:hAnsi="Times New Roman" w:cs="Times New Roman"/>
          <w:bCs/>
          <w:sz w:val="24"/>
          <w:szCs w:val="24"/>
          <w:lang w:val="en-US"/>
        </w:rPr>
        <w:t>Varkulevich</w:t>
      </w:r>
      <w:proofErr w:type="spellEnd"/>
      <w:r w:rsidRPr="00EE7D38">
        <w:rPr>
          <w:rFonts w:ascii="Times New Roman" w:hAnsi="Times New Roman" w:cs="Times New Roman"/>
          <w:bCs/>
          <w:sz w:val="24"/>
          <w:szCs w:val="24"/>
          <w:lang w:val="en-US"/>
        </w:rPr>
        <w:t xml:space="preserve"> T. V., </w:t>
      </w:r>
      <w:proofErr w:type="spellStart"/>
      <w:r w:rsidRPr="00EE7D38">
        <w:rPr>
          <w:rFonts w:ascii="Times New Roman" w:hAnsi="Times New Roman" w:cs="Times New Roman"/>
          <w:bCs/>
          <w:sz w:val="24"/>
          <w:szCs w:val="24"/>
          <w:lang w:val="en-US"/>
        </w:rPr>
        <w:t>Bedrachuk</w:t>
      </w:r>
      <w:proofErr w:type="spellEnd"/>
      <w:r w:rsidRPr="00EE7D38">
        <w:rPr>
          <w:rFonts w:ascii="Times New Roman" w:hAnsi="Times New Roman" w:cs="Times New Roman"/>
          <w:bCs/>
          <w:sz w:val="24"/>
          <w:szCs w:val="24"/>
          <w:lang w:val="en-US"/>
        </w:rPr>
        <w:t xml:space="preserve"> I. A., Arnaut M. N., </w:t>
      </w:r>
      <w:proofErr w:type="spellStart"/>
      <w:r w:rsidRPr="00EE7D38">
        <w:rPr>
          <w:rFonts w:ascii="Times New Roman" w:hAnsi="Times New Roman" w:cs="Times New Roman"/>
          <w:bCs/>
          <w:sz w:val="24"/>
          <w:szCs w:val="24"/>
          <w:lang w:val="en-US"/>
        </w:rPr>
        <w:t>Chudaev</w:t>
      </w:r>
      <w:proofErr w:type="spellEnd"/>
      <w:r w:rsidRPr="00EE7D38">
        <w:rPr>
          <w:rFonts w:ascii="Times New Roman" w:hAnsi="Times New Roman" w:cs="Times New Roman"/>
          <w:bCs/>
          <w:sz w:val="24"/>
          <w:szCs w:val="24"/>
          <w:lang w:val="en-US"/>
        </w:rPr>
        <w:t xml:space="preserve"> E. Yu. (2019) Regional universities and external migration of the graduates: impact on economics sphere (example of </w:t>
      </w:r>
      <w:proofErr w:type="spellStart"/>
      <w:r w:rsidRPr="00EE7D38">
        <w:rPr>
          <w:rFonts w:ascii="Times New Roman" w:hAnsi="Times New Roman" w:cs="Times New Roman"/>
          <w:bCs/>
          <w:sz w:val="24"/>
          <w:szCs w:val="24"/>
          <w:lang w:val="en-US"/>
        </w:rPr>
        <w:t>Primorsky</w:t>
      </w:r>
      <w:proofErr w:type="spellEnd"/>
      <w:r w:rsidRPr="00EE7D38">
        <w:rPr>
          <w:rFonts w:ascii="Times New Roman" w:hAnsi="Times New Roman" w:cs="Times New Roman"/>
          <w:bCs/>
          <w:sz w:val="24"/>
          <w:szCs w:val="24"/>
          <w:lang w:val="en-US"/>
        </w:rPr>
        <w:t xml:space="preserve"> region)</w:t>
      </w:r>
      <w:r w:rsidR="00E001A0">
        <w:rPr>
          <w:rFonts w:ascii="Times New Roman" w:hAnsi="Times New Roman" w:cs="Times New Roman"/>
          <w:bCs/>
          <w:sz w:val="24"/>
          <w:szCs w:val="24"/>
          <w:lang w:val="en-US"/>
        </w:rPr>
        <w:t>.</w:t>
      </w:r>
      <w:r w:rsidRPr="00EE7D38">
        <w:rPr>
          <w:rFonts w:ascii="Times New Roman" w:hAnsi="Times New Roman" w:cs="Times New Roman"/>
          <w:bCs/>
          <w:sz w:val="24"/>
          <w:szCs w:val="24"/>
          <w:lang w:val="en-US"/>
        </w:rPr>
        <w:t xml:space="preserve"> Amazonia </w:t>
      </w:r>
      <w:proofErr w:type="spellStart"/>
      <w:r w:rsidRPr="00EE7D38">
        <w:rPr>
          <w:rFonts w:ascii="Times New Roman" w:hAnsi="Times New Roman" w:cs="Times New Roman"/>
          <w:bCs/>
          <w:sz w:val="24"/>
          <w:szCs w:val="24"/>
          <w:lang w:val="en-US"/>
        </w:rPr>
        <w:t>Investiga</w:t>
      </w:r>
      <w:proofErr w:type="spellEnd"/>
      <w:r w:rsidRPr="00EE7D38">
        <w:rPr>
          <w:rFonts w:ascii="Times New Roman" w:hAnsi="Times New Roman" w:cs="Times New Roman"/>
          <w:bCs/>
          <w:sz w:val="24"/>
          <w:szCs w:val="24"/>
          <w:lang w:val="en-US"/>
        </w:rPr>
        <w:t>. 8 (23). P. 547-555</w:t>
      </w:r>
    </w:p>
    <w:p w14:paraId="182D4FD8" w14:textId="77777777" w:rsidR="00385083" w:rsidRDefault="00EE7D38" w:rsidP="00EE7D38">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proofErr w:type="spellStart"/>
      <w:r w:rsidRPr="00EE7D38">
        <w:rPr>
          <w:rFonts w:ascii="Times New Roman" w:hAnsi="Times New Roman" w:cs="Times New Roman"/>
          <w:bCs/>
          <w:sz w:val="24"/>
          <w:szCs w:val="24"/>
          <w:lang w:val="en-US"/>
        </w:rPr>
        <w:t>Tsareva</w:t>
      </w:r>
      <w:proofErr w:type="spellEnd"/>
      <w:r w:rsidRPr="00EE7D38">
        <w:rPr>
          <w:rFonts w:ascii="Times New Roman" w:hAnsi="Times New Roman" w:cs="Times New Roman"/>
          <w:bCs/>
          <w:sz w:val="24"/>
          <w:szCs w:val="24"/>
          <w:lang w:val="en-US"/>
        </w:rPr>
        <w:t xml:space="preserve"> N. A., Vlasenko A. A., </w:t>
      </w:r>
      <w:proofErr w:type="spellStart"/>
      <w:r w:rsidRPr="00EE7D38">
        <w:rPr>
          <w:rFonts w:ascii="Times New Roman" w:hAnsi="Times New Roman" w:cs="Times New Roman"/>
          <w:bCs/>
          <w:sz w:val="24"/>
          <w:szCs w:val="24"/>
          <w:lang w:val="en-US"/>
        </w:rPr>
        <w:t>Kololokova</w:t>
      </w:r>
      <w:proofErr w:type="spellEnd"/>
      <w:r w:rsidRPr="00EE7D38">
        <w:rPr>
          <w:rFonts w:ascii="Times New Roman" w:hAnsi="Times New Roman" w:cs="Times New Roman"/>
          <w:bCs/>
          <w:sz w:val="24"/>
          <w:szCs w:val="24"/>
          <w:lang w:val="en-US"/>
        </w:rPr>
        <w:t xml:space="preserve"> L. A. (2017) Actual Questions Of Human Resources Management</w:t>
      </w:r>
      <w:r w:rsidR="00E001A0">
        <w:rPr>
          <w:rFonts w:ascii="Times New Roman" w:hAnsi="Times New Roman" w:cs="Times New Roman"/>
          <w:bCs/>
          <w:sz w:val="24"/>
          <w:szCs w:val="24"/>
          <w:lang w:val="en-US"/>
        </w:rPr>
        <w:t>.</w:t>
      </w:r>
      <w:r w:rsidRPr="00EE7D38">
        <w:rPr>
          <w:rFonts w:ascii="Times New Roman" w:hAnsi="Times New Roman" w:cs="Times New Roman"/>
          <w:bCs/>
          <w:sz w:val="24"/>
          <w:szCs w:val="24"/>
          <w:lang w:val="en-US"/>
        </w:rPr>
        <w:t xml:space="preserve"> Turkish Online Journal </w:t>
      </w:r>
      <w:proofErr w:type="gramStart"/>
      <w:r w:rsidRPr="00EE7D38">
        <w:rPr>
          <w:rFonts w:ascii="Times New Roman" w:hAnsi="Times New Roman" w:cs="Times New Roman"/>
          <w:bCs/>
          <w:sz w:val="24"/>
          <w:szCs w:val="24"/>
          <w:lang w:val="en-US"/>
        </w:rPr>
        <w:t>Of</w:t>
      </w:r>
      <w:proofErr w:type="gramEnd"/>
      <w:r w:rsidRPr="00EE7D38">
        <w:rPr>
          <w:rFonts w:ascii="Times New Roman" w:hAnsi="Times New Roman" w:cs="Times New Roman"/>
          <w:bCs/>
          <w:sz w:val="24"/>
          <w:szCs w:val="24"/>
          <w:lang w:val="en-US"/>
        </w:rPr>
        <w:t xml:space="preserve"> Design Art And Communication. 7. P. 1208-1218 </w:t>
      </w:r>
      <w:proofErr w:type="spellStart"/>
      <w:r w:rsidRPr="00EE7D38">
        <w:rPr>
          <w:rFonts w:ascii="Times New Roman" w:hAnsi="Times New Roman" w:cs="Times New Roman"/>
          <w:bCs/>
          <w:sz w:val="24"/>
          <w:szCs w:val="24"/>
          <w:lang w:val="en-US"/>
        </w:rPr>
        <w:t>doi</w:t>
      </w:r>
      <w:proofErr w:type="spellEnd"/>
      <w:r w:rsidRPr="00EE7D38">
        <w:rPr>
          <w:rFonts w:ascii="Times New Roman" w:hAnsi="Times New Roman" w:cs="Times New Roman"/>
          <w:bCs/>
          <w:sz w:val="24"/>
          <w:szCs w:val="24"/>
          <w:lang w:val="en-US"/>
        </w:rPr>
        <w:t>: 10.7456/1070ASE/147</w:t>
      </w:r>
      <w:r>
        <w:rPr>
          <w:rFonts w:ascii="Times New Roman" w:hAnsi="Times New Roman" w:cs="Times New Roman"/>
          <w:bCs/>
          <w:sz w:val="24"/>
          <w:szCs w:val="24"/>
          <w:lang w:val="en-US"/>
        </w:rPr>
        <w:t>.</w:t>
      </w:r>
    </w:p>
    <w:p w14:paraId="1D5CC3F9" w14:textId="77777777" w:rsidR="00EE7D38" w:rsidRDefault="00EE7D38" w:rsidP="00EE7D38">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proofErr w:type="spellStart"/>
      <w:r w:rsidRPr="00EE7D38">
        <w:rPr>
          <w:rFonts w:ascii="Times New Roman" w:hAnsi="Times New Roman" w:cs="Times New Roman"/>
          <w:bCs/>
          <w:sz w:val="24"/>
          <w:szCs w:val="24"/>
          <w:lang w:val="en-US"/>
        </w:rPr>
        <w:t>Tsareva</w:t>
      </w:r>
      <w:proofErr w:type="spellEnd"/>
      <w:r w:rsidRPr="00EE7D38">
        <w:rPr>
          <w:rFonts w:ascii="Times New Roman" w:hAnsi="Times New Roman" w:cs="Times New Roman"/>
          <w:bCs/>
          <w:sz w:val="24"/>
          <w:szCs w:val="24"/>
          <w:lang w:val="en-US"/>
        </w:rPr>
        <w:t xml:space="preserve"> N. A., </w:t>
      </w:r>
      <w:proofErr w:type="spellStart"/>
      <w:r w:rsidRPr="00EE7D38">
        <w:rPr>
          <w:rFonts w:ascii="Times New Roman" w:hAnsi="Times New Roman" w:cs="Times New Roman"/>
          <w:bCs/>
          <w:sz w:val="24"/>
          <w:szCs w:val="24"/>
          <w:lang w:val="en-US"/>
        </w:rPr>
        <w:t>Omelyanenko</w:t>
      </w:r>
      <w:proofErr w:type="spellEnd"/>
      <w:r w:rsidRPr="00EE7D38">
        <w:rPr>
          <w:rFonts w:ascii="Times New Roman" w:hAnsi="Times New Roman" w:cs="Times New Roman"/>
          <w:bCs/>
          <w:sz w:val="24"/>
          <w:szCs w:val="24"/>
          <w:lang w:val="en-US"/>
        </w:rPr>
        <w:t xml:space="preserve"> S. Yu (2020) Remote work: development of employee digital competence</w:t>
      </w:r>
      <w:r w:rsidR="00E001A0">
        <w:rPr>
          <w:rFonts w:ascii="Times New Roman" w:hAnsi="Times New Roman" w:cs="Times New Roman"/>
          <w:bCs/>
          <w:sz w:val="24"/>
          <w:szCs w:val="24"/>
          <w:lang w:val="en-US"/>
        </w:rPr>
        <w:t xml:space="preserve">. </w:t>
      </w:r>
      <w:proofErr w:type="spellStart"/>
      <w:r w:rsidRPr="00EE7D38">
        <w:rPr>
          <w:rFonts w:ascii="Times New Roman" w:hAnsi="Times New Roman" w:cs="Times New Roman"/>
          <w:bCs/>
          <w:sz w:val="24"/>
          <w:szCs w:val="24"/>
          <w:lang w:val="en-US"/>
        </w:rPr>
        <w:t>Revista</w:t>
      </w:r>
      <w:proofErr w:type="spellEnd"/>
      <w:r w:rsidRPr="00EE7D38">
        <w:rPr>
          <w:rFonts w:ascii="Times New Roman" w:hAnsi="Times New Roman" w:cs="Times New Roman"/>
          <w:bCs/>
          <w:sz w:val="24"/>
          <w:szCs w:val="24"/>
          <w:lang w:val="en-US"/>
        </w:rPr>
        <w:t xml:space="preserve"> De La Universidad Del </w:t>
      </w:r>
      <w:proofErr w:type="spellStart"/>
      <w:r w:rsidRPr="00EE7D38">
        <w:rPr>
          <w:rFonts w:ascii="Times New Roman" w:hAnsi="Times New Roman" w:cs="Times New Roman"/>
          <w:bCs/>
          <w:sz w:val="24"/>
          <w:szCs w:val="24"/>
          <w:lang w:val="en-US"/>
        </w:rPr>
        <w:t>zulia</w:t>
      </w:r>
      <w:proofErr w:type="spellEnd"/>
      <w:r w:rsidRPr="00EE7D38">
        <w:rPr>
          <w:rFonts w:ascii="Times New Roman" w:hAnsi="Times New Roman" w:cs="Times New Roman"/>
          <w:bCs/>
          <w:sz w:val="24"/>
          <w:szCs w:val="24"/>
          <w:lang w:val="en-US"/>
        </w:rPr>
        <w:t xml:space="preserve">. №11 (31). pp. 131-140. </w:t>
      </w:r>
      <w:proofErr w:type="spellStart"/>
      <w:r w:rsidRPr="00EE7D38">
        <w:rPr>
          <w:rFonts w:ascii="Times New Roman" w:hAnsi="Times New Roman" w:cs="Times New Roman"/>
          <w:bCs/>
          <w:sz w:val="24"/>
          <w:szCs w:val="24"/>
          <w:lang w:val="en-US"/>
        </w:rPr>
        <w:t>doi</w:t>
      </w:r>
      <w:proofErr w:type="spellEnd"/>
      <w:r w:rsidRPr="00EE7D38">
        <w:rPr>
          <w:rFonts w:ascii="Times New Roman" w:hAnsi="Times New Roman" w:cs="Times New Roman"/>
          <w:bCs/>
          <w:sz w:val="24"/>
          <w:szCs w:val="24"/>
          <w:lang w:val="en-US"/>
        </w:rPr>
        <w:t>. 10.46925/rdluz.31.10</w:t>
      </w:r>
    </w:p>
    <w:p w14:paraId="0AD6EB45" w14:textId="77777777" w:rsidR="00EE7D38" w:rsidRPr="00955372" w:rsidRDefault="00EE7D38" w:rsidP="00EE7D38">
      <w:pPr>
        <w:pStyle w:val="a6"/>
        <w:widowControl w:val="0"/>
        <w:numPr>
          <w:ilvl w:val="0"/>
          <w:numId w:val="1"/>
        </w:numPr>
        <w:spacing w:after="0" w:line="240" w:lineRule="auto"/>
        <w:ind w:left="0" w:firstLine="709"/>
        <w:jc w:val="both"/>
        <w:rPr>
          <w:rFonts w:ascii="Times New Roman" w:hAnsi="Times New Roman" w:cs="Times New Roman"/>
          <w:bCs/>
          <w:sz w:val="24"/>
          <w:szCs w:val="24"/>
          <w:lang w:val="en-US"/>
        </w:rPr>
      </w:pPr>
      <w:proofErr w:type="spellStart"/>
      <w:r w:rsidRPr="00EE7D38">
        <w:rPr>
          <w:rFonts w:ascii="Times New Roman" w:hAnsi="Times New Roman" w:cs="Times New Roman"/>
          <w:bCs/>
          <w:sz w:val="24"/>
          <w:szCs w:val="24"/>
          <w:lang w:val="en-US"/>
        </w:rPr>
        <w:t>Tsareva</w:t>
      </w:r>
      <w:proofErr w:type="spellEnd"/>
      <w:r w:rsidRPr="00EE7D38">
        <w:rPr>
          <w:rFonts w:ascii="Times New Roman" w:hAnsi="Times New Roman" w:cs="Times New Roman"/>
          <w:bCs/>
          <w:sz w:val="24"/>
          <w:szCs w:val="24"/>
          <w:lang w:val="en-US"/>
        </w:rPr>
        <w:t xml:space="preserve"> N. A., </w:t>
      </w:r>
      <w:proofErr w:type="spellStart"/>
      <w:r w:rsidRPr="00EE7D38">
        <w:rPr>
          <w:rFonts w:ascii="Times New Roman" w:hAnsi="Times New Roman" w:cs="Times New Roman"/>
          <w:bCs/>
          <w:sz w:val="24"/>
          <w:szCs w:val="24"/>
          <w:lang w:val="en-US"/>
        </w:rPr>
        <w:t>Yakimova</w:t>
      </w:r>
      <w:proofErr w:type="spellEnd"/>
      <w:r w:rsidRPr="00EE7D38">
        <w:rPr>
          <w:rFonts w:ascii="Times New Roman" w:hAnsi="Times New Roman" w:cs="Times New Roman"/>
          <w:bCs/>
          <w:sz w:val="24"/>
          <w:szCs w:val="24"/>
          <w:lang w:val="en-US"/>
        </w:rPr>
        <w:t xml:space="preserve"> Z. V., Vlasenko A. A. (2019) Job crafting role, staff involvement and work stress</w:t>
      </w:r>
      <w:r w:rsidR="00E001A0">
        <w:rPr>
          <w:rFonts w:ascii="Times New Roman" w:hAnsi="Times New Roman" w:cs="Times New Roman"/>
          <w:bCs/>
          <w:sz w:val="24"/>
          <w:szCs w:val="24"/>
          <w:lang w:val="en-US"/>
        </w:rPr>
        <w:t xml:space="preserve">. </w:t>
      </w:r>
      <w:proofErr w:type="spellStart"/>
      <w:r w:rsidRPr="00EE7D38">
        <w:rPr>
          <w:rFonts w:ascii="Times New Roman" w:hAnsi="Times New Roman" w:cs="Times New Roman"/>
          <w:bCs/>
          <w:sz w:val="24"/>
          <w:szCs w:val="24"/>
          <w:lang w:val="en-US"/>
        </w:rPr>
        <w:t>Dilemas</w:t>
      </w:r>
      <w:proofErr w:type="spellEnd"/>
      <w:r w:rsidRPr="00EE7D38">
        <w:rPr>
          <w:rFonts w:ascii="Times New Roman" w:hAnsi="Times New Roman" w:cs="Times New Roman"/>
          <w:bCs/>
          <w:sz w:val="24"/>
          <w:szCs w:val="24"/>
          <w:lang w:val="en-US"/>
        </w:rPr>
        <w:t xml:space="preserve"> </w:t>
      </w:r>
      <w:proofErr w:type="spellStart"/>
      <w:r w:rsidRPr="00EE7D38">
        <w:rPr>
          <w:rFonts w:ascii="Times New Roman" w:hAnsi="Times New Roman" w:cs="Times New Roman"/>
          <w:bCs/>
          <w:sz w:val="24"/>
          <w:szCs w:val="24"/>
          <w:lang w:val="en-US"/>
        </w:rPr>
        <w:t>Contemporaneos-Educacion</w:t>
      </w:r>
      <w:proofErr w:type="spellEnd"/>
      <w:r w:rsidRPr="00EE7D38">
        <w:rPr>
          <w:rFonts w:ascii="Times New Roman" w:hAnsi="Times New Roman" w:cs="Times New Roman"/>
          <w:bCs/>
          <w:sz w:val="24"/>
          <w:szCs w:val="24"/>
          <w:lang w:val="en-US"/>
        </w:rPr>
        <w:t xml:space="preserve"> </w:t>
      </w:r>
      <w:proofErr w:type="spellStart"/>
      <w:r w:rsidRPr="00EE7D38">
        <w:rPr>
          <w:rFonts w:ascii="Times New Roman" w:hAnsi="Times New Roman" w:cs="Times New Roman"/>
          <w:bCs/>
          <w:sz w:val="24"/>
          <w:szCs w:val="24"/>
          <w:lang w:val="en-US"/>
        </w:rPr>
        <w:t>Politica</w:t>
      </w:r>
      <w:proofErr w:type="spellEnd"/>
      <w:r w:rsidRPr="00EE7D38">
        <w:rPr>
          <w:rFonts w:ascii="Times New Roman" w:hAnsi="Times New Roman" w:cs="Times New Roman"/>
          <w:bCs/>
          <w:sz w:val="24"/>
          <w:szCs w:val="24"/>
          <w:lang w:val="en-US"/>
        </w:rPr>
        <w:t xml:space="preserve"> Y </w:t>
      </w:r>
      <w:proofErr w:type="spellStart"/>
      <w:r w:rsidRPr="00EE7D38">
        <w:rPr>
          <w:rFonts w:ascii="Times New Roman" w:hAnsi="Times New Roman" w:cs="Times New Roman"/>
          <w:bCs/>
          <w:sz w:val="24"/>
          <w:szCs w:val="24"/>
          <w:lang w:val="en-US"/>
        </w:rPr>
        <w:t>Valores</w:t>
      </w:r>
      <w:proofErr w:type="spellEnd"/>
      <w:r w:rsidRPr="00EE7D38">
        <w:rPr>
          <w:rFonts w:ascii="Times New Roman" w:hAnsi="Times New Roman" w:cs="Times New Roman"/>
          <w:bCs/>
          <w:sz w:val="24"/>
          <w:szCs w:val="24"/>
          <w:lang w:val="en-US"/>
        </w:rPr>
        <w:t>. 6. 81.</w:t>
      </w:r>
    </w:p>
    <w:sectPr w:rsidR="00EE7D38" w:rsidRPr="00955372" w:rsidSect="00F76F2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40685"/>
    <w:multiLevelType w:val="hybridMultilevel"/>
    <w:tmpl w:val="1DCA4BB6"/>
    <w:lvl w:ilvl="0" w:tplc="95F8CE1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F23"/>
    <w:rsid w:val="00023FD9"/>
    <w:rsid w:val="00040ECD"/>
    <w:rsid w:val="00051304"/>
    <w:rsid w:val="00075B40"/>
    <w:rsid w:val="000A1DBF"/>
    <w:rsid w:val="000D6247"/>
    <w:rsid w:val="000E0FB3"/>
    <w:rsid w:val="00113A22"/>
    <w:rsid w:val="00154D49"/>
    <w:rsid w:val="001D0C1B"/>
    <w:rsid w:val="001E43E1"/>
    <w:rsid w:val="00204B69"/>
    <w:rsid w:val="0021741B"/>
    <w:rsid w:val="0024741E"/>
    <w:rsid w:val="002805FC"/>
    <w:rsid w:val="002C0459"/>
    <w:rsid w:val="002D047F"/>
    <w:rsid w:val="002F3F25"/>
    <w:rsid w:val="003163CB"/>
    <w:rsid w:val="0032055F"/>
    <w:rsid w:val="00330DE4"/>
    <w:rsid w:val="00332407"/>
    <w:rsid w:val="00337261"/>
    <w:rsid w:val="00385083"/>
    <w:rsid w:val="00392928"/>
    <w:rsid w:val="003E249A"/>
    <w:rsid w:val="00431849"/>
    <w:rsid w:val="00490107"/>
    <w:rsid w:val="00494132"/>
    <w:rsid w:val="004B54FD"/>
    <w:rsid w:val="00514BED"/>
    <w:rsid w:val="005442BF"/>
    <w:rsid w:val="00544DCB"/>
    <w:rsid w:val="005E43CE"/>
    <w:rsid w:val="00612D6D"/>
    <w:rsid w:val="00625566"/>
    <w:rsid w:val="00642CCB"/>
    <w:rsid w:val="006B004B"/>
    <w:rsid w:val="006C4BF5"/>
    <w:rsid w:val="006D1F1A"/>
    <w:rsid w:val="006D2315"/>
    <w:rsid w:val="00732A4B"/>
    <w:rsid w:val="00760213"/>
    <w:rsid w:val="00774DB6"/>
    <w:rsid w:val="007952AA"/>
    <w:rsid w:val="007A47BA"/>
    <w:rsid w:val="007D1C75"/>
    <w:rsid w:val="007E0420"/>
    <w:rsid w:val="0081292D"/>
    <w:rsid w:val="00813464"/>
    <w:rsid w:val="00814DC4"/>
    <w:rsid w:val="00834DD6"/>
    <w:rsid w:val="0085470B"/>
    <w:rsid w:val="0085476E"/>
    <w:rsid w:val="00886981"/>
    <w:rsid w:val="00891B40"/>
    <w:rsid w:val="008D7120"/>
    <w:rsid w:val="008F3774"/>
    <w:rsid w:val="00910696"/>
    <w:rsid w:val="009138D8"/>
    <w:rsid w:val="00914E32"/>
    <w:rsid w:val="00920649"/>
    <w:rsid w:val="00932561"/>
    <w:rsid w:val="0093462A"/>
    <w:rsid w:val="00943996"/>
    <w:rsid w:val="00955372"/>
    <w:rsid w:val="00956713"/>
    <w:rsid w:val="009706C8"/>
    <w:rsid w:val="009935A6"/>
    <w:rsid w:val="009A4462"/>
    <w:rsid w:val="00A21CDA"/>
    <w:rsid w:val="00AF6F60"/>
    <w:rsid w:val="00B25941"/>
    <w:rsid w:val="00B36D7C"/>
    <w:rsid w:val="00B54A24"/>
    <w:rsid w:val="00B807F9"/>
    <w:rsid w:val="00BA3365"/>
    <w:rsid w:val="00C408F7"/>
    <w:rsid w:val="00C457D4"/>
    <w:rsid w:val="00CB018A"/>
    <w:rsid w:val="00CC43E5"/>
    <w:rsid w:val="00CD1132"/>
    <w:rsid w:val="00CD4625"/>
    <w:rsid w:val="00CE6FB4"/>
    <w:rsid w:val="00D02603"/>
    <w:rsid w:val="00D62EA7"/>
    <w:rsid w:val="00DC2C83"/>
    <w:rsid w:val="00DC61D9"/>
    <w:rsid w:val="00E001A0"/>
    <w:rsid w:val="00E36053"/>
    <w:rsid w:val="00E42E15"/>
    <w:rsid w:val="00EC2774"/>
    <w:rsid w:val="00EE7D38"/>
    <w:rsid w:val="00F76F23"/>
    <w:rsid w:val="00F85E5B"/>
    <w:rsid w:val="00FD661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D0F92"/>
  <w15:docId w15:val="{2DB71D93-1C2F-A94A-8CEA-BF2779E6A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113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36D7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36D7C"/>
    <w:rPr>
      <w:rFonts w:ascii="Tahoma" w:hAnsi="Tahoma" w:cs="Tahoma"/>
      <w:sz w:val="16"/>
      <w:szCs w:val="16"/>
    </w:rPr>
  </w:style>
  <w:style w:type="character" w:styleId="a5">
    <w:name w:val="Hyperlink"/>
    <w:basedOn w:val="a0"/>
    <w:uiPriority w:val="99"/>
    <w:unhideWhenUsed/>
    <w:rsid w:val="006B004B"/>
    <w:rPr>
      <w:color w:val="0563C1" w:themeColor="hyperlink"/>
      <w:u w:val="single"/>
    </w:rPr>
  </w:style>
  <w:style w:type="paragraph" w:styleId="a6">
    <w:name w:val="List Paragraph"/>
    <w:basedOn w:val="a"/>
    <w:uiPriority w:val="34"/>
    <w:qFormat/>
    <w:rsid w:val="006D1F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9521208">
      <w:bodyDiv w:val="1"/>
      <w:marLeft w:val="0"/>
      <w:marRight w:val="0"/>
      <w:marTop w:val="0"/>
      <w:marBottom w:val="0"/>
      <w:divBdr>
        <w:top w:val="none" w:sz="0" w:space="0" w:color="auto"/>
        <w:left w:val="none" w:sz="0" w:space="0" w:color="auto"/>
        <w:bottom w:val="none" w:sz="0" w:space="0" w:color="auto"/>
        <w:right w:val="none" w:sz="0" w:space="0" w:color="auto"/>
      </w:divBdr>
    </w:div>
    <w:div w:id="590087231">
      <w:bodyDiv w:val="1"/>
      <w:marLeft w:val="0"/>
      <w:marRight w:val="0"/>
      <w:marTop w:val="0"/>
      <w:marBottom w:val="0"/>
      <w:divBdr>
        <w:top w:val="none" w:sz="0" w:space="0" w:color="auto"/>
        <w:left w:val="none" w:sz="0" w:space="0" w:color="auto"/>
        <w:bottom w:val="none" w:sz="0" w:space="0" w:color="auto"/>
        <w:right w:val="none" w:sz="0" w:space="0" w:color="auto"/>
      </w:divBdr>
      <w:divsChild>
        <w:div w:id="1430351724">
          <w:marLeft w:val="288"/>
          <w:marRight w:val="0"/>
          <w:marTop w:val="280"/>
          <w:marBottom w:val="0"/>
          <w:divBdr>
            <w:top w:val="none" w:sz="0" w:space="0" w:color="auto"/>
            <w:left w:val="none" w:sz="0" w:space="0" w:color="auto"/>
            <w:bottom w:val="none" w:sz="0" w:space="0" w:color="auto"/>
            <w:right w:val="none" w:sz="0" w:space="0" w:color="auto"/>
          </w:divBdr>
        </w:div>
        <w:div w:id="1009064909">
          <w:marLeft w:val="288"/>
          <w:marRight w:val="0"/>
          <w:marTop w:val="280"/>
          <w:marBottom w:val="0"/>
          <w:divBdr>
            <w:top w:val="none" w:sz="0" w:space="0" w:color="auto"/>
            <w:left w:val="none" w:sz="0" w:space="0" w:color="auto"/>
            <w:bottom w:val="none" w:sz="0" w:space="0" w:color="auto"/>
            <w:right w:val="none" w:sz="0" w:space="0" w:color="auto"/>
          </w:divBdr>
        </w:div>
      </w:divsChild>
    </w:div>
    <w:div w:id="596862717">
      <w:bodyDiv w:val="1"/>
      <w:marLeft w:val="0"/>
      <w:marRight w:val="0"/>
      <w:marTop w:val="0"/>
      <w:marBottom w:val="0"/>
      <w:divBdr>
        <w:top w:val="none" w:sz="0" w:space="0" w:color="auto"/>
        <w:left w:val="none" w:sz="0" w:space="0" w:color="auto"/>
        <w:bottom w:val="none" w:sz="0" w:space="0" w:color="auto"/>
        <w:right w:val="none" w:sz="0" w:space="0" w:color="auto"/>
      </w:divBdr>
    </w:div>
    <w:div w:id="1032344246">
      <w:bodyDiv w:val="1"/>
      <w:marLeft w:val="0"/>
      <w:marRight w:val="0"/>
      <w:marTop w:val="0"/>
      <w:marBottom w:val="0"/>
      <w:divBdr>
        <w:top w:val="none" w:sz="0" w:space="0" w:color="auto"/>
        <w:left w:val="none" w:sz="0" w:space="0" w:color="auto"/>
        <w:bottom w:val="none" w:sz="0" w:space="0" w:color="auto"/>
        <w:right w:val="none" w:sz="0" w:space="0" w:color="auto"/>
      </w:divBdr>
      <w:divsChild>
        <w:div w:id="197864342">
          <w:marLeft w:val="288"/>
          <w:marRight w:val="0"/>
          <w:marTop w:val="280"/>
          <w:marBottom w:val="0"/>
          <w:divBdr>
            <w:top w:val="none" w:sz="0" w:space="0" w:color="auto"/>
            <w:left w:val="none" w:sz="0" w:space="0" w:color="auto"/>
            <w:bottom w:val="none" w:sz="0" w:space="0" w:color="auto"/>
            <w:right w:val="none" w:sz="0" w:space="0" w:color="auto"/>
          </w:divBdr>
        </w:div>
      </w:divsChild>
    </w:div>
    <w:div w:id="1930384636">
      <w:bodyDiv w:val="1"/>
      <w:marLeft w:val="0"/>
      <w:marRight w:val="0"/>
      <w:marTop w:val="0"/>
      <w:marBottom w:val="0"/>
      <w:divBdr>
        <w:top w:val="none" w:sz="0" w:space="0" w:color="auto"/>
        <w:left w:val="none" w:sz="0" w:space="0" w:color="auto"/>
        <w:bottom w:val="none" w:sz="0" w:space="0" w:color="auto"/>
        <w:right w:val="none" w:sz="0" w:space="0" w:color="auto"/>
      </w:divBdr>
    </w:div>
    <w:div w:id="2089420104">
      <w:bodyDiv w:val="1"/>
      <w:marLeft w:val="0"/>
      <w:marRight w:val="0"/>
      <w:marTop w:val="0"/>
      <w:marBottom w:val="0"/>
      <w:divBdr>
        <w:top w:val="none" w:sz="0" w:space="0" w:color="auto"/>
        <w:left w:val="none" w:sz="0" w:space="0" w:color="auto"/>
        <w:bottom w:val="none" w:sz="0" w:space="0" w:color="auto"/>
        <w:right w:val="none" w:sz="0" w:space="0" w:color="auto"/>
      </w:divBdr>
      <w:divsChild>
        <w:div w:id="20058147">
          <w:marLeft w:val="0"/>
          <w:marRight w:val="0"/>
          <w:marTop w:val="0"/>
          <w:marBottom w:val="120"/>
          <w:divBdr>
            <w:top w:val="none" w:sz="0" w:space="0" w:color="auto"/>
            <w:left w:val="none" w:sz="0" w:space="0" w:color="auto"/>
            <w:bottom w:val="none" w:sz="0" w:space="0" w:color="auto"/>
            <w:right w:val="none" w:sz="0" w:space="0" w:color="auto"/>
          </w:divBdr>
        </w:div>
        <w:div w:id="240797273">
          <w:marLeft w:val="0"/>
          <w:marRight w:val="0"/>
          <w:marTop w:val="0"/>
          <w:marBottom w:val="120"/>
          <w:divBdr>
            <w:top w:val="none" w:sz="0" w:space="0" w:color="auto"/>
            <w:left w:val="none" w:sz="0" w:space="0" w:color="auto"/>
            <w:bottom w:val="none" w:sz="0" w:space="0" w:color="auto"/>
            <w:right w:val="none" w:sz="0" w:space="0" w:color="auto"/>
          </w:divBdr>
        </w:div>
        <w:div w:id="1414280873">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Лист2!$A$4</c:f>
              <c:strCache>
                <c:ptCount val="1"/>
                <c:pt idx="0">
                  <c:v>The number of permanent population Primorsky Krai, thousand people
</c:v>
                </c:pt>
              </c:strCache>
            </c:strRef>
          </c:tx>
          <c:spPr>
            <a:ln>
              <a:solidFill>
                <a:srgbClr val="00B050"/>
              </a:solidFill>
            </a:ln>
          </c:spPr>
          <c:marker>
            <c:symbol val="none"/>
          </c:marker>
          <c:cat>
            <c:numRef>
              <c:f>Лист2!$B$2:$M$2</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Лист2!$B$4:$M$4</c:f>
              <c:numCache>
                <c:formatCode>General</c:formatCode>
                <c:ptCount val="12"/>
                <c:pt idx="0">
                  <c:v>1969.6</c:v>
                </c:pt>
                <c:pt idx="1">
                  <c:v>1956.5</c:v>
                </c:pt>
                <c:pt idx="2">
                  <c:v>1953.5</c:v>
                </c:pt>
                <c:pt idx="3">
                  <c:v>1950.5</c:v>
                </c:pt>
                <c:pt idx="4">
                  <c:v>1947.3</c:v>
                </c:pt>
                <c:pt idx="5">
                  <c:v>1938.5</c:v>
                </c:pt>
                <c:pt idx="6">
                  <c:v>1933.3</c:v>
                </c:pt>
                <c:pt idx="7">
                  <c:v>1929</c:v>
                </c:pt>
                <c:pt idx="8">
                  <c:v>1923.1</c:v>
                </c:pt>
                <c:pt idx="9">
                  <c:v>1913</c:v>
                </c:pt>
                <c:pt idx="10">
                  <c:v>1902.7</c:v>
                </c:pt>
                <c:pt idx="11" formatCode="0.0">
                  <c:v>1895.8679999999999</c:v>
                </c:pt>
              </c:numCache>
            </c:numRef>
          </c:val>
          <c:smooth val="0"/>
          <c:extLst>
            <c:ext xmlns:c16="http://schemas.microsoft.com/office/drawing/2014/chart" uri="{C3380CC4-5D6E-409C-BE32-E72D297353CC}">
              <c16:uniqueId val="{00000000-5D94-2244-811E-4BDCBD78FB80}"/>
            </c:ext>
          </c:extLst>
        </c:ser>
        <c:dLbls>
          <c:showLegendKey val="0"/>
          <c:showVal val="0"/>
          <c:showCatName val="0"/>
          <c:showSerName val="0"/>
          <c:showPercent val="0"/>
          <c:showBubbleSize val="0"/>
        </c:dLbls>
        <c:smooth val="0"/>
        <c:axId val="191376384"/>
        <c:axId val="46528128"/>
      </c:lineChart>
      <c:catAx>
        <c:axId val="191376384"/>
        <c:scaling>
          <c:orientation val="minMax"/>
        </c:scaling>
        <c:delete val="0"/>
        <c:axPos val="b"/>
        <c:numFmt formatCode="General" sourceLinked="1"/>
        <c:majorTickMark val="out"/>
        <c:minorTickMark val="none"/>
        <c:tickLblPos val="nextTo"/>
        <c:crossAx val="46528128"/>
        <c:crosses val="autoZero"/>
        <c:auto val="1"/>
        <c:lblAlgn val="ctr"/>
        <c:lblOffset val="100"/>
        <c:noMultiLvlLbl val="0"/>
      </c:catAx>
      <c:valAx>
        <c:axId val="46528128"/>
        <c:scaling>
          <c:orientation val="minMax"/>
        </c:scaling>
        <c:delete val="0"/>
        <c:axPos val="l"/>
        <c:majorGridlines/>
        <c:numFmt formatCode="General" sourceLinked="1"/>
        <c:majorTickMark val="out"/>
        <c:minorTickMark val="none"/>
        <c:tickLblPos val="nextTo"/>
        <c:crossAx val="191376384"/>
        <c:crosses val="autoZero"/>
        <c:crossBetween val="between"/>
      </c:valAx>
      <c:spPr>
        <a:noFill/>
      </c:spPr>
    </c:plotArea>
    <c:legend>
      <c:legendPos val="b"/>
      <c:overlay val="0"/>
    </c:legend>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Лист2!$A$8</c:f>
              <c:strCache>
                <c:ptCount val="1"/>
                <c:pt idx="0">
                  <c:v>Gross regional product, billion rubles
</c:v>
                </c:pt>
              </c:strCache>
            </c:strRef>
          </c:tx>
          <c:marker>
            <c:symbol val="none"/>
          </c:marker>
          <c:cat>
            <c:numRef>
              <c:f>Лист2!$B$2:$L$2</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Лист2!$B$8:$L$8</c:f>
              <c:numCache>
                <c:formatCode>0</c:formatCode>
                <c:ptCount val="11"/>
                <c:pt idx="0">
                  <c:v>368.99700000000001</c:v>
                </c:pt>
                <c:pt idx="1">
                  <c:v>470.67899999999997</c:v>
                </c:pt>
                <c:pt idx="2">
                  <c:v>549.72299999999996</c:v>
                </c:pt>
                <c:pt idx="3">
                  <c:v>557.48900000000003</c:v>
                </c:pt>
                <c:pt idx="4">
                  <c:v>577.47400000000005</c:v>
                </c:pt>
                <c:pt idx="5">
                  <c:v>642.423</c:v>
                </c:pt>
                <c:pt idx="6">
                  <c:v>717.61</c:v>
                </c:pt>
                <c:pt idx="7">
                  <c:v>739.24400000000003</c:v>
                </c:pt>
                <c:pt idx="8">
                  <c:v>776.33699999999999</c:v>
                </c:pt>
                <c:pt idx="9">
                  <c:v>834.02300000000002</c:v>
                </c:pt>
                <c:pt idx="10">
                  <c:v>878</c:v>
                </c:pt>
              </c:numCache>
            </c:numRef>
          </c:val>
          <c:smooth val="0"/>
          <c:extLst>
            <c:ext xmlns:c16="http://schemas.microsoft.com/office/drawing/2014/chart" uri="{C3380CC4-5D6E-409C-BE32-E72D297353CC}">
              <c16:uniqueId val="{00000000-2625-6E49-B499-8B484B59633C}"/>
            </c:ext>
          </c:extLst>
        </c:ser>
        <c:dLbls>
          <c:showLegendKey val="0"/>
          <c:showVal val="0"/>
          <c:showCatName val="0"/>
          <c:showSerName val="0"/>
          <c:showPercent val="0"/>
          <c:showBubbleSize val="0"/>
        </c:dLbls>
        <c:smooth val="0"/>
        <c:axId val="217758720"/>
        <c:axId val="46529856"/>
      </c:lineChart>
      <c:catAx>
        <c:axId val="217758720"/>
        <c:scaling>
          <c:orientation val="minMax"/>
        </c:scaling>
        <c:delete val="0"/>
        <c:axPos val="b"/>
        <c:numFmt formatCode="General" sourceLinked="1"/>
        <c:majorTickMark val="none"/>
        <c:minorTickMark val="none"/>
        <c:tickLblPos val="nextTo"/>
        <c:crossAx val="46529856"/>
        <c:crosses val="autoZero"/>
        <c:auto val="1"/>
        <c:lblAlgn val="ctr"/>
        <c:lblOffset val="100"/>
        <c:noMultiLvlLbl val="0"/>
      </c:catAx>
      <c:valAx>
        <c:axId val="46529856"/>
        <c:scaling>
          <c:orientation val="minMax"/>
        </c:scaling>
        <c:delete val="0"/>
        <c:axPos val="l"/>
        <c:numFmt formatCode="0" sourceLinked="1"/>
        <c:majorTickMark val="none"/>
        <c:minorTickMark val="none"/>
        <c:tickLblPos val="nextTo"/>
        <c:crossAx val="217758720"/>
        <c:crosses val="autoZero"/>
        <c:crossBetween val="between"/>
      </c:valAx>
    </c:plotArea>
    <c:legend>
      <c:legendPos val="b"/>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Лист1!$A$2</c:f>
              <c:strCache>
                <c:ptCount val="1"/>
                <c:pt idx="0">
                  <c:v>National economy</c:v>
                </c:pt>
              </c:strCache>
            </c:strRef>
          </c:tx>
          <c:marker>
            <c:symbol val="none"/>
          </c:marker>
          <c:cat>
            <c:numRef>
              <c:f>Лист1!$B$1:$J$1</c:f>
              <c:numCache>
                <c:formatCode>General</c:formatCode>
                <c:ptCount val="9"/>
                <c:pt idx="0">
                  <c:v>2011</c:v>
                </c:pt>
                <c:pt idx="1">
                  <c:v>2012</c:v>
                </c:pt>
                <c:pt idx="2">
                  <c:v>2013</c:v>
                </c:pt>
                <c:pt idx="3">
                  <c:v>2014</c:v>
                </c:pt>
                <c:pt idx="4">
                  <c:v>2015</c:v>
                </c:pt>
                <c:pt idx="5">
                  <c:v>2016</c:v>
                </c:pt>
                <c:pt idx="6">
                  <c:v>2017</c:v>
                </c:pt>
                <c:pt idx="7">
                  <c:v>2018</c:v>
                </c:pt>
                <c:pt idx="8">
                  <c:v>2019</c:v>
                </c:pt>
              </c:numCache>
            </c:numRef>
          </c:cat>
          <c:val>
            <c:numRef>
              <c:f>Лист1!$B$2:$J$2</c:f>
              <c:numCache>
                <c:formatCode>#,##0.00</c:formatCode>
                <c:ptCount val="9"/>
                <c:pt idx="0">
                  <c:v>21.9</c:v>
                </c:pt>
                <c:pt idx="1">
                  <c:v>18.489999999999998</c:v>
                </c:pt>
                <c:pt idx="2">
                  <c:v>14.18</c:v>
                </c:pt>
                <c:pt idx="3">
                  <c:v>13.55</c:v>
                </c:pt>
                <c:pt idx="4">
                  <c:v>15.23</c:v>
                </c:pt>
                <c:pt idx="5">
                  <c:v>16.21</c:v>
                </c:pt>
                <c:pt idx="6">
                  <c:v>18.829999999999998</c:v>
                </c:pt>
                <c:pt idx="7">
                  <c:v>17.420000000000002</c:v>
                </c:pt>
                <c:pt idx="8" formatCode="General">
                  <c:v>26.9</c:v>
                </c:pt>
              </c:numCache>
            </c:numRef>
          </c:val>
          <c:smooth val="0"/>
          <c:extLst>
            <c:ext xmlns:c16="http://schemas.microsoft.com/office/drawing/2014/chart" uri="{C3380CC4-5D6E-409C-BE32-E72D297353CC}">
              <c16:uniqueId val="{00000000-776D-684E-B5FD-94D71A1B5767}"/>
            </c:ext>
          </c:extLst>
        </c:ser>
        <c:ser>
          <c:idx val="1"/>
          <c:order val="1"/>
          <c:tx>
            <c:strRef>
              <c:f>Лист1!$A$3</c:f>
              <c:strCache>
                <c:ptCount val="1"/>
                <c:pt idx="0">
                  <c:v>Housing and communal services</c:v>
                </c:pt>
              </c:strCache>
            </c:strRef>
          </c:tx>
          <c:marker>
            <c:symbol val="none"/>
          </c:marker>
          <c:cat>
            <c:numRef>
              <c:f>Лист1!$B$1:$J$1</c:f>
              <c:numCache>
                <c:formatCode>General</c:formatCode>
                <c:ptCount val="9"/>
                <c:pt idx="0">
                  <c:v>2011</c:v>
                </c:pt>
                <c:pt idx="1">
                  <c:v>2012</c:v>
                </c:pt>
                <c:pt idx="2">
                  <c:v>2013</c:v>
                </c:pt>
                <c:pt idx="3">
                  <c:v>2014</c:v>
                </c:pt>
                <c:pt idx="4">
                  <c:v>2015</c:v>
                </c:pt>
                <c:pt idx="5">
                  <c:v>2016</c:v>
                </c:pt>
                <c:pt idx="6">
                  <c:v>2017</c:v>
                </c:pt>
                <c:pt idx="7">
                  <c:v>2018</c:v>
                </c:pt>
                <c:pt idx="8">
                  <c:v>2019</c:v>
                </c:pt>
              </c:numCache>
            </c:numRef>
          </c:cat>
          <c:val>
            <c:numRef>
              <c:f>Лист1!$B$3:$J$3</c:f>
              <c:numCache>
                <c:formatCode>#,##0.00</c:formatCode>
                <c:ptCount val="9"/>
                <c:pt idx="0">
                  <c:v>9.94</c:v>
                </c:pt>
                <c:pt idx="1">
                  <c:v>10.210000000000001</c:v>
                </c:pt>
                <c:pt idx="2">
                  <c:v>7.03</c:v>
                </c:pt>
                <c:pt idx="3">
                  <c:v>5.19</c:v>
                </c:pt>
                <c:pt idx="4">
                  <c:v>4.21</c:v>
                </c:pt>
                <c:pt idx="5">
                  <c:v>9.0500000000000007</c:v>
                </c:pt>
                <c:pt idx="6">
                  <c:v>11.72</c:v>
                </c:pt>
                <c:pt idx="7">
                  <c:v>11.58</c:v>
                </c:pt>
                <c:pt idx="8" formatCode="General">
                  <c:v>21</c:v>
                </c:pt>
              </c:numCache>
            </c:numRef>
          </c:val>
          <c:smooth val="0"/>
          <c:extLst>
            <c:ext xmlns:c16="http://schemas.microsoft.com/office/drawing/2014/chart" uri="{C3380CC4-5D6E-409C-BE32-E72D297353CC}">
              <c16:uniqueId val="{00000001-776D-684E-B5FD-94D71A1B5767}"/>
            </c:ext>
          </c:extLst>
        </c:ser>
        <c:ser>
          <c:idx val="2"/>
          <c:order val="2"/>
          <c:tx>
            <c:strRef>
              <c:f>Лист1!$A$4</c:f>
              <c:strCache>
                <c:ptCount val="1"/>
                <c:pt idx="0">
                  <c:v>Education</c:v>
                </c:pt>
              </c:strCache>
            </c:strRef>
          </c:tx>
          <c:marker>
            <c:symbol val="none"/>
          </c:marker>
          <c:cat>
            <c:numRef>
              <c:f>Лист1!$B$1:$J$1</c:f>
              <c:numCache>
                <c:formatCode>General</c:formatCode>
                <c:ptCount val="9"/>
                <c:pt idx="0">
                  <c:v>2011</c:v>
                </c:pt>
                <c:pt idx="1">
                  <c:v>2012</c:v>
                </c:pt>
                <c:pt idx="2">
                  <c:v>2013</c:v>
                </c:pt>
                <c:pt idx="3">
                  <c:v>2014</c:v>
                </c:pt>
                <c:pt idx="4">
                  <c:v>2015</c:v>
                </c:pt>
                <c:pt idx="5">
                  <c:v>2016</c:v>
                </c:pt>
                <c:pt idx="6">
                  <c:v>2017</c:v>
                </c:pt>
                <c:pt idx="7">
                  <c:v>2018</c:v>
                </c:pt>
                <c:pt idx="8">
                  <c:v>2019</c:v>
                </c:pt>
              </c:numCache>
            </c:numRef>
          </c:cat>
          <c:val>
            <c:numRef>
              <c:f>Лист1!$B$4:$J$4</c:f>
              <c:numCache>
                <c:formatCode>#,##0.00</c:formatCode>
                <c:ptCount val="9"/>
                <c:pt idx="0">
                  <c:v>8.34</c:v>
                </c:pt>
                <c:pt idx="1">
                  <c:v>11.85</c:v>
                </c:pt>
                <c:pt idx="2">
                  <c:v>15.78</c:v>
                </c:pt>
                <c:pt idx="3">
                  <c:v>18.09</c:v>
                </c:pt>
                <c:pt idx="4">
                  <c:v>18.04</c:v>
                </c:pt>
                <c:pt idx="5">
                  <c:v>17.329999999999998</c:v>
                </c:pt>
                <c:pt idx="6">
                  <c:v>17.149999999999999</c:v>
                </c:pt>
                <c:pt idx="7">
                  <c:v>19.239999999999998</c:v>
                </c:pt>
                <c:pt idx="8" formatCode="General">
                  <c:v>24.2</c:v>
                </c:pt>
              </c:numCache>
            </c:numRef>
          </c:val>
          <c:smooth val="0"/>
          <c:extLst>
            <c:ext xmlns:c16="http://schemas.microsoft.com/office/drawing/2014/chart" uri="{C3380CC4-5D6E-409C-BE32-E72D297353CC}">
              <c16:uniqueId val="{00000002-776D-684E-B5FD-94D71A1B5767}"/>
            </c:ext>
          </c:extLst>
        </c:ser>
        <c:ser>
          <c:idx val="3"/>
          <c:order val="3"/>
          <c:tx>
            <c:strRef>
              <c:f>Лист1!$A$5</c:f>
              <c:strCache>
                <c:ptCount val="1"/>
                <c:pt idx="0">
                  <c:v>Culture, kinemotography</c:v>
                </c:pt>
              </c:strCache>
            </c:strRef>
          </c:tx>
          <c:marker>
            <c:symbol val="none"/>
          </c:marker>
          <c:cat>
            <c:numRef>
              <c:f>Лист1!$B$1:$J$1</c:f>
              <c:numCache>
                <c:formatCode>General</c:formatCode>
                <c:ptCount val="9"/>
                <c:pt idx="0">
                  <c:v>2011</c:v>
                </c:pt>
                <c:pt idx="1">
                  <c:v>2012</c:v>
                </c:pt>
                <c:pt idx="2">
                  <c:v>2013</c:v>
                </c:pt>
                <c:pt idx="3">
                  <c:v>2014</c:v>
                </c:pt>
                <c:pt idx="4">
                  <c:v>2015</c:v>
                </c:pt>
                <c:pt idx="5">
                  <c:v>2016</c:v>
                </c:pt>
                <c:pt idx="6">
                  <c:v>2017</c:v>
                </c:pt>
                <c:pt idx="7">
                  <c:v>2018</c:v>
                </c:pt>
                <c:pt idx="8">
                  <c:v>2019</c:v>
                </c:pt>
              </c:numCache>
            </c:numRef>
          </c:cat>
          <c:val>
            <c:numRef>
              <c:f>Лист1!$B$5:$J$5</c:f>
              <c:numCache>
                <c:formatCode>#,##0.00</c:formatCode>
                <c:ptCount val="9"/>
                <c:pt idx="0">
                  <c:v>1.55</c:v>
                </c:pt>
                <c:pt idx="1">
                  <c:v>2.2000000000000002</c:v>
                </c:pt>
                <c:pt idx="2">
                  <c:v>2.12</c:v>
                </c:pt>
                <c:pt idx="3">
                  <c:v>0.93</c:v>
                </c:pt>
                <c:pt idx="4">
                  <c:v>1.1599999999999999</c:v>
                </c:pt>
                <c:pt idx="5">
                  <c:v>0.93</c:v>
                </c:pt>
                <c:pt idx="6">
                  <c:v>1.68</c:v>
                </c:pt>
                <c:pt idx="7">
                  <c:v>1.17</c:v>
                </c:pt>
                <c:pt idx="8" formatCode="General">
                  <c:v>1.3</c:v>
                </c:pt>
              </c:numCache>
            </c:numRef>
          </c:val>
          <c:smooth val="0"/>
          <c:extLst>
            <c:ext xmlns:c16="http://schemas.microsoft.com/office/drawing/2014/chart" uri="{C3380CC4-5D6E-409C-BE32-E72D297353CC}">
              <c16:uniqueId val="{00000003-776D-684E-B5FD-94D71A1B5767}"/>
            </c:ext>
          </c:extLst>
        </c:ser>
        <c:ser>
          <c:idx val="4"/>
          <c:order val="4"/>
          <c:tx>
            <c:strRef>
              <c:f>Лист1!$A$6</c:f>
              <c:strCache>
                <c:ptCount val="1"/>
                <c:pt idx="0">
                  <c:v>Health care</c:v>
                </c:pt>
              </c:strCache>
            </c:strRef>
          </c:tx>
          <c:marker>
            <c:symbol val="none"/>
          </c:marker>
          <c:cat>
            <c:numRef>
              <c:f>Лист1!$B$1:$J$1</c:f>
              <c:numCache>
                <c:formatCode>General</c:formatCode>
                <c:ptCount val="9"/>
                <c:pt idx="0">
                  <c:v>2011</c:v>
                </c:pt>
                <c:pt idx="1">
                  <c:v>2012</c:v>
                </c:pt>
                <c:pt idx="2">
                  <c:v>2013</c:v>
                </c:pt>
                <c:pt idx="3">
                  <c:v>2014</c:v>
                </c:pt>
                <c:pt idx="4">
                  <c:v>2015</c:v>
                </c:pt>
                <c:pt idx="5">
                  <c:v>2016</c:v>
                </c:pt>
                <c:pt idx="6">
                  <c:v>2017</c:v>
                </c:pt>
                <c:pt idx="7">
                  <c:v>2018</c:v>
                </c:pt>
                <c:pt idx="8">
                  <c:v>2019</c:v>
                </c:pt>
              </c:numCache>
            </c:numRef>
          </c:cat>
          <c:val>
            <c:numRef>
              <c:f>Лист1!$B$6:$J$6</c:f>
              <c:numCache>
                <c:formatCode>#,##0.00</c:formatCode>
                <c:ptCount val="9"/>
                <c:pt idx="0">
                  <c:v>9.9499999999999993</c:v>
                </c:pt>
                <c:pt idx="1">
                  <c:v>13.01</c:v>
                </c:pt>
                <c:pt idx="2">
                  <c:v>16.63</c:v>
                </c:pt>
                <c:pt idx="3">
                  <c:v>16.23</c:v>
                </c:pt>
                <c:pt idx="4">
                  <c:v>16.96</c:v>
                </c:pt>
                <c:pt idx="5">
                  <c:v>16.43</c:v>
                </c:pt>
                <c:pt idx="6">
                  <c:v>6.37</c:v>
                </c:pt>
                <c:pt idx="7">
                  <c:v>9.42</c:v>
                </c:pt>
                <c:pt idx="8" formatCode="General">
                  <c:v>11.8</c:v>
                </c:pt>
              </c:numCache>
            </c:numRef>
          </c:val>
          <c:smooth val="0"/>
          <c:extLst>
            <c:ext xmlns:c16="http://schemas.microsoft.com/office/drawing/2014/chart" uri="{C3380CC4-5D6E-409C-BE32-E72D297353CC}">
              <c16:uniqueId val="{00000004-776D-684E-B5FD-94D71A1B5767}"/>
            </c:ext>
          </c:extLst>
        </c:ser>
        <c:ser>
          <c:idx val="5"/>
          <c:order val="5"/>
          <c:tx>
            <c:strRef>
              <c:f>Лист1!$A$7</c:f>
              <c:strCache>
                <c:ptCount val="1"/>
                <c:pt idx="0">
                  <c:v>Social policy</c:v>
                </c:pt>
              </c:strCache>
            </c:strRef>
          </c:tx>
          <c:marker>
            <c:symbol val="none"/>
          </c:marker>
          <c:cat>
            <c:numRef>
              <c:f>Лист1!$B$1:$J$1</c:f>
              <c:numCache>
                <c:formatCode>General</c:formatCode>
                <c:ptCount val="9"/>
                <c:pt idx="0">
                  <c:v>2011</c:v>
                </c:pt>
                <c:pt idx="1">
                  <c:v>2012</c:v>
                </c:pt>
                <c:pt idx="2">
                  <c:v>2013</c:v>
                </c:pt>
                <c:pt idx="3">
                  <c:v>2014</c:v>
                </c:pt>
                <c:pt idx="4">
                  <c:v>2015</c:v>
                </c:pt>
                <c:pt idx="5">
                  <c:v>2016</c:v>
                </c:pt>
                <c:pt idx="6">
                  <c:v>2017</c:v>
                </c:pt>
                <c:pt idx="7">
                  <c:v>2018</c:v>
                </c:pt>
                <c:pt idx="8">
                  <c:v>2019</c:v>
                </c:pt>
              </c:numCache>
            </c:numRef>
          </c:cat>
          <c:val>
            <c:numRef>
              <c:f>Лист1!$B$7:$J$7</c:f>
              <c:numCache>
                <c:formatCode>#,##0.00</c:formatCode>
                <c:ptCount val="9"/>
                <c:pt idx="0">
                  <c:v>14.63</c:v>
                </c:pt>
                <c:pt idx="1">
                  <c:v>14.81</c:v>
                </c:pt>
                <c:pt idx="2">
                  <c:v>17.89</c:v>
                </c:pt>
                <c:pt idx="3">
                  <c:v>20.86</c:v>
                </c:pt>
                <c:pt idx="4">
                  <c:v>21.1</c:v>
                </c:pt>
                <c:pt idx="5">
                  <c:v>15.97</c:v>
                </c:pt>
                <c:pt idx="6">
                  <c:v>29.91</c:v>
                </c:pt>
                <c:pt idx="7">
                  <c:v>30</c:v>
                </c:pt>
                <c:pt idx="8" formatCode="General">
                  <c:v>34.9</c:v>
                </c:pt>
              </c:numCache>
            </c:numRef>
          </c:val>
          <c:smooth val="0"/>
          <c:extLst>
            <c:ext xmlns:c16="http://schemas.microsoft.com/office/drawing/2014/chart" uri="{C3380CC4-5D6E-409C-BE32-E72D297353CC}">
              <c16:uniqueId val="{00000005-776D-684E-B5FD-94D71A1B5767}"/>
            </c:ext>
          </c:extLst>
        </c:ser>
        <c:ser>
          <c:idx val="6"/>
          <c:order val="6"/>
          <c:tx>
            <c:strRef>
              <c:f>Лист1!$A$8</c:f>
              <c:strCache>
                <c:ptCount val="1"/>
                <c:pt idx="0">
                  <c:v>Physical education and sports</c:v>
                </c:pt>
              </c:strCache>
            </c:strRef>
          </c:tx>
          <c:marker>
            <c:symbol val="none"/>
          </c:marker>
          <c:cat>
            <c:numRef>
              <c:f>Лист1!$B$1:$J$1</c:f>
              <c:numCache>
                <c:formatCode>General</c:formatCode>
                <c:ptCount val="9"/>
                <c:pt idx="0">
                  <c:v>2011</c:v>
                </c:pt>
                <c:pt idx="1">
                  <c:v>2012</c:v>
                </c:pt>
                <c:pt idx="2">
                  <c:v>2013</c:v>
                </c:pt>
                <c:pt idx="3">
                  <c:v>2014</c:v>
                </c:pt>
                <c:pt idx="4">
                  <c:v>2015</c:v>
                </c:pt>
                <c:pt idx="5">
                  <c:v>2016</c:v>
                </c:pt>
                <c:pt idx="6">
                  <c:v>2017</c:v>
                </c:pt>
                <c:pt idx="7">
                  <c:v>2018</c:v>
                </c:pt>
                <c:pt idx="8">
                  <c:v>2019</c:v>
                </c:pt>
              </c:numCache>
            </c:numRef>
          </c:cat>
          <c:val>
            <c:numRef>
              <c:f>Лист1!$B$8:$J$8</c:f>
              <c:numCache>
                <c:formatCode>#,##0.00</c:formatCode>
                <c:ptCount val="9"/>
                <c:pt idx="0">
                  <c:v>1.61</c:v>
                </c:pt>
                <c:pt idx="1">
                  <c:v>1.46</c:v>
                </c:pt>
                <c:pt idx="2">
                  <c:v>3.1</c:v>
                </c:pt>
                <c:pt idx="3">
                  <c:v>1.55</c:v>
                </c:pt>
                <c:pt idx="4">
                  <c:v>1.4</c:v>
                </c:pt>
                <c:pt idx="5">
                  <c:v>1.49</c:v>
                </c:pt>
                <c:pt idx="6">
                  <c:v>1.79</c:v>
                </c:pt>
                <c:pt idx="7">
                  <c:v>2.12</c:v>
                </c:pt>
                <c:pt idx="8" formatCode="General">
                  <c:v>2.6</c:v>
                </c:pt>
              </c:numCache>
            </c:numRef>
          </c:val>
          <c:smooth val="0"/>
          <c:extLst>
            <c:ext xmlns:c16="http://schemas.microsoft.com/office/drawing/2014/chart" uri="{C3380CC4-5D6E-409C-BE32-E72D297353CC}">
              <c16:uniqueId val="{00000006-776D-684E-B5FD-94D71A1B5767}"/>
            </c:ext>
          </c:extLst>
        </c:ser>
        <c:dLbls>
          <c:showLegendKey val="0"/>
          <c:showVal val="0"/>
          <c:showCatName val="0"/>
          <c:showSerName val="0"/>
          <c:showPercent val="0"/>
          <c:showBubbleSize val="0"/>
        </c:dLbls>
        <c:smooth val="0"/>
        <c:axId val="255145472"/>
        <c:axId val="237118016"/>
      </c:lineChart>
      <c:catAx>
        <c:axId val="255145472"/>
        <c:scaling>
          <c:orientation val="minMax"/>
        </c:scaling>
        <c:delete val="0"/>
        <c:axPos val="b"/>
        <c:numFmt formatCode="General" sourceLinked="1"/>
        <c:majorTickMark val="out"/>
        <c:minorTickMark val="none"/>
        <c:tickLblPos val="nextTo"/>
        <c:crossAx val="237118016"/>
        <c:crosses val="autoZero"/>
        <c:auto val="1"/>
        <c:lblAlgn val="ctr"/>
        <c:lblOffset val="100"/>
        <c:noMultiLvlLbl val="0"/>
      </c:catAx>
      <c:valAx>
        <c:axId val="237118016"/>
        <c:scaling>
          <c:orientation val="minMax"/>
        </c:scaling>
        <c:delete val="0"/>
        <c:axPos val="l"/>
        <c:majorGridlines/>
        <c:numFmt formatCode="#,##0.00" sourceLinked="1"/>
        <c:majorTickMark val="out"/>
        <c:minorTickMark val="none"/>
        <c:tickLblPos val="nextTo"/>
        <c:crossAx val="255145472"/>
        <c:crosses val="autoZero"/>
        <c:crossBetween val="between"/>
      </c:valAx>
    </c:plotArea>
    <c:legend>
      <c:legendPos val="b"/>
      <c:overlay val="0"/>
    </c:legend>
    <c:plotVisOnly val="1"/>
    <c:dispBlanksAs val="gap"/>
    <c:showDLblsOverMax val="0"/>
  </c:chart>
  <c:spPr>
    <a:noFill/>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3520</Words>
  <Characters>19919</Characters>
  <Application>Microsoft Office Word</Application>
  <DocSecurity>0</DocSecurity>
  <Lines>527</Lines>
  <Paragraphs>241</Paragraphs>
  <ScaleCrop>false</ScaleCrop>
  <HeadingPairs>
    <vt:vector size="2" baseType="variant">
      <vt:variant>
        <vt:lpstr>Название</vt:lpstr>
      </vt:variant>
      <vt:variant>
        <vt:i4>1</vt:i4>
      </vt:variant>
    </vt:vector>
  </HeadingPairs>
  <TitlesOfParts>
    <vt:vector size="1" baseType="lpstr">
      <vt:lpstr/>
    </vt:vector>
  </TitlesOfParts>
  <Manager/>
  <Company>VVSU</Company>
  <LinksUpToDate>false</LinksUpToDate>
  <CharactersWithSpaces>23208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Арнаут Марина</dc:creator>
  <cp:keywords/>
  <dc:description/>
  <cp:lastModifiedBy>***</cp:lastModifiedBy>
  <cp:revision>4</cp:revision>
  <dcterms:created xsi:type="dcterms:W3CDTF">2021-05-12T10:08:00Z</dcterms:created>
  <dcterms:modified xsi:type="dcterms:W3CDTF">2021-05-12T10:15:00Z</dcterms:modified>
  <cp:category/>
</cp:coreProperties>
</file>