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218A7B" w14:textId="18133354" w:rsidR="00246615" w:rsidRPr="002D54EF" w:rsidRDefault="00246615" w:rsidP="003F4664">
      <w:pPr>
        <w:spacing w:after="0" w:line="240" w:lineRule="auto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УДК 338</w:t>
      </w:r>
    </w:p>
    <w:p w14:paraId="2046E1CB" w14:textId="54F0BD7E" w:rsidR="000B6E52" w:rsidRPr="002D54EF" w:rsidRDefault="00027262" w:rsidP="000B6E52">
      <w:pPr>
        <w:spacing w:before="120" w:after="120" w:line="240" w:lineRule="auto"/>
        <w:jc w:val="center"/>
        <w:rPr>
          <w:rFonts w:ascii="Times New Roman CYR" w:hAnsi="Times New Roman CYR" w:cs="Times New Roman"/>
          <w:b/>
          <w:sz w:val="24"/>
          <w:szCs w:val="24"/>
        </w:rPr>
      </w:pPr>
      <w:r w:rsidRPr="002D54EF">
        <w:rPr>
          <w:rFonts w:ascii="Times New Roman CYR" w:hAnsi="Times New Roman CYR" w:cs="Times New Roman"/>
          <w:b/>
          <w:sz w:val="24"/>
          <w:szCs w:val="24"/>
        </w:rPr>
        <w:t>Анализ и оценка финансовой составляющей экономической безопасности организации</w:t>
      </w:r>
    </w:p>
    <w:p w14:paraId="0BE2F932" w14:textId="5A50FACB" w:rsidR="007A4A71" w:rsidRPr="002D54EF" w:rsidRDefault="007A4A71" w:rsidP="000B6E52">
      <w:pPr>
        <w:spacing w:after="0" w:line="240" w:lineRule="auto"/>
        <w:ind w:firstLine="709"/>
        <w:jc w:val="center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Глухов Денис Дмитриевич,</w:t>
      </w:r>
    </w:p>
    <w:p w14:paraId="1D7EAA8A" w14:textId="77777777" w:rsidR="007A4A71" w:rsidRPr="002D54EF" w:rsidRDefault="007A4A71" w:rsidP="000B6E52">
      <w:pPr>
        <w:spacing w:after="0" w:line="240" w:lineRule="auto"/>
        <w:ind w:firstLine="709"/>
        <w:jc w:val="center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Бакалавр</w:t>
      </w:r>
    </w:p>
    <w:p w14:paraId="1F612C87" w14:textId="5A7E3334" w:rsidR="007A4A71" w:rsidRPr="002D54EF" w:rsidRDefault="007A4A71" w:rsidP="000B6E52">
      <w:pPr>
        <w:spacing w:after="0" w:line="240" w:lineRule="auto"/>
        <w:ind w:firstLine="709"/>
        <w:jc w:val="center"/>
        <w:rPr>
          <w:rFonts w:ascii="Times New Roman CYR" w:hAnsi="Times New Roman CYR" w:cs="Times New Roman"/>
          <w:i/>
          <w:sz w:val="24"/>
          <w:szCs w:val="24"/>
        </w:rPr>
      </w:pPr>
      <w:r w:rsidRPr="002D54EF">
        <w:rPr>
          <w:rFonts w:ascii="Times New Roman CYR" w:hAnsi="Times New Roman CYR" w:cs="Times New Roman"/>
          <w:i/>
          <w:sz w:val="24"/>
          <w:szCs w:val="24"/>
        </w:rPr>
        <w:t xml:space="preserve">ФБГОУ ВО </w:t>
      </w:r>
      <w:r w:rsidR="00153570">
        <w:rPr>
          <w:rFonts w:ascii="Times New Roman CYR" w:hAnsi="Times New Roman CYR" w:cs="Times New Roman"/>
          <w:i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i/>
          <w:sz w:val="24"/>
          <w:szCs w:val="24"/>
        </w:rPr>
        <w:t>Владивостокский государственный университет</w:t>
      </w:r>
      <w:r w:rsidR="00153570">
        <w:rPr>
          <w:rFonts w:ascii="Times New Roman CYR" w:hAnsi="Times New Roman CYR" w:cs="Times New Roman"/>
          <w:i/>
          <w:sz w:val="24"/>
          <w:szCs w:val="24"/>
        </w:rPr>
        <w:t>»</w:t>
      </w:r>
    </w:p>
    <w:p w14:paraId="6DF5F9F4" w14:textId="77777777" w:rsidR="007A4A71" w:rsidRPr="002D54EF" w:rsidRDefault="007A4A71" w:rsidP="000B6E52">
      <w:pPr>
        <w:spacing w:after="0" w:line="240" w:lineRule="auto"/>
        <w:ind w:firstLine="709"/>
        <w:jc w:val="center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Россия. Владивосток</w:t>
      </w:r>
    </w:p>
    <w:p w14:paraId="1082E75A" w14:textId="77777777" w:rsidR="007A4A71" w:rsidRPr="002D54EF" w:rsidRDefault="007A4A71" w:rsidP="000B6E52">
      <w:pPr>
        <w:spacing w:after="0" w:line="240" w:lineRule="auto"/>
        <w:ind w:firstLine="709"/>
        <w:jc w:val="center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  <w:lang w:val="en-US"/>
        </w:rPr>
        <w:t>E</w:t>
      </w:r>
      <w:r w:rsidRPr="002D54EF">
        <w:rPr>
          <w:rFonts w:ascii="Times New Roman CYR" w:hAnsi="Times New Roman CYR" w:cs="Times New Roman"/>
          <w:sz w:val="24"/>
          <w:szCs w:val="24"/>
        </w:rPr>
        <w:t>-</w:t>
      </w:r>
      <w:r w:rsidRPr="002D54EF">
        <w:rPr>
          <w:rFonts w:ascii="Times New Roman CYR" w:hAnsi="Times New Roman CYR" w:cs="Times New Roman"/>
          <w:sz w:val="24"/>
          <w:szCs w:val="24"/>
          <w:lang w:val="en-US"/>
        </w:rPr>
        <w:t>mail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: </w:t>
      </w:r>
      <w:r w:rsidRPr="002D54EF">
        <w:rPr>
          <w:rFonts w:ascii="Times New Roman CYR" w:hAnsi="Times New Roman CYR" w:cs="Times New Roman"/>
          <w:sz w:val="24"/>
          <w:szCs w:val="24"/>
          <w:lang w:val="en-US"/>
        </w:rPr>
        <w:t>dddenchikc</w:t>
      </w:r>
      <w:r w:rsidRPr="002D54EF">
        <w:rPr>
          <w:rFonts w:ascii="Times New Roman CYR" w:hAnsi="Times New Roman CYR" w:cs="Times New Roman"/>
          <w:sz w:val="24"/>
          <w:szCs w:val="24"/>
        </w:rPr>
        <w:t>@</w:t>
      </w:r>
      <w:r w:rsidRPr="002D54EF">
        <w:rPr>
          <w:rFonts w:ascii="Times New Roman CYR" w:hAnsi="Times New Roman CYR" w:cs="Times New Roman"/>
          <w:sz w:val="24"/>
          <w:szCs w:val="24"/>
          <w:lang w:val="en-US"/>
        </w:rPr>
        <w:t>mail</w:t>
      </w:r>
      <w:r w:rsidRPr="002D54EF">
        <w:rPr>
          <w:rFonts w:ascii="Times New Roman CYR" w:hAnsi="Times New Roman CYR" w:cs="Times New Roman"/>
          <w:sz w:val="24"/>
          <w:szCs w:val="24"/>
        </w:rPr>
        <w:t>.</w:t>
      </w:r>
      <w:r w:rsidRPr="002D54EF">
        <w:rPr>
          <w:rFonts w:ascii="Times New Roman CYR" w:hAnsi="Times New Roman CYR" w:cs="Times New Roman"/>
          <w:sz w:val="24"/>
          <w:szCs w:val="24"/>
          <w:lang w:val="en-US"/>
        </w:rPr>
        <w:t>ru</w:t>
      </w:r>
      <w:r w:rsidRPr="002D54EF">
        <w:rPr>
          <w:rFonts w:ascii="Times New Roman CYR" w:hAnsi="Times New Roman CYR" w:cs="Times New Roman"/>
          <w:sz w:val="24"/>
          <w:szCs w:val="24"/>
        </w:rPr>
        <w:t>; Тел. +79146855527</w:t>
      </w:r>
    </w:p>
    <w:p w14:paraId="08F215C8" w14:textId="77777777" w:rsidR="007A4A71" w:rsidRPr="002D54EF" w:rsidRDefault="007A4A71" w:rsidP="000B6E52">
      <w:pPr>
        <w:spacing w:after="0" w:line="240" w:lineRule="auto"/>
        <w:ind w:firstLine="709"/>
        <w:jc w:val="center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ул. Гоголя, 41, г. Владивосток, Приморский край, Россия, 690014</w:t>
      </w:r>
    </w:p>
    <w:p w14:paraId="16588682" w14:textId="10692D80" w:rsidR="001E18DD" w:rsidRPr="002D54EF" w:rsidRDefault="003B156E" w:rsidP="00153570">
      <w:pPr>
        <w:spacing w:before="120" w:after="120" w:line="240" w:lineRule="auto"/>
        <w:ind w:firstLine="709"/>
        <w:jc w:val="both"/>
        <w:rPr>
          <w:rFonts w:ascii="Times New Roman CYR" w:hAnsi="Times New Roman CYR" w:cs="Times New Roman"/>
          <w:i/>
          <w:sz w:val="24"/>
          <w:szCs w:val="24"/>
        </w:rPr>
      </w:pPr>
      <w:r w:rsidRPr="002D54EF">
        <w:rPr>
          <w:rFonts w:ascii="Times New Roman CYR" w:hAnsi="Times New Roman CYR" w:cs="Times New Roman"/>
          <w:i/>
          <w:sz w:val="24"/>
          <w:szCs w:val="24"/>
        </w:rPr>
        <w:t>В статья приведен а</w:t>
      </w:r>
      <w:r w:rsidR="001E18DD" w:rsidRPr="002D54EF">
        <w:rPr>
          <w:rFonts w:ascii="Times New Roman CYR" w:hAnsi="Times New Roman CYR" w:cs="Times New Roman"/>
          <w:i/>
          <w:sz w:val="24"/>
          <w:szCs w:val="24"/>
        </w:rPr>
        <w:t xml:space="preserve">нализ ООО </w:t>
      </w:r>
      <w:r w:rsidR="00153570">
        <w:rPr>
          <w:rFonts w:ascii="Times New Roman CYR" w:hAnsi="Times New Roman CYR" w:cs="Times New Roman"/>
          <w:i/>
          <w:sz w:val="24"/>
          <w:szCs w:val="24"/>
        </w:rPr>
        <w:t>«</w:t>
      </w:r>
      <w:r w:rsidR="001E18DD" w:rsidRPr="002D54EF">
        <w:rPr>
          <w:rFonts w:ascii="Times New Roman CYR" w:hAnsi="Times New Roman CYR" w:cs="Times New Roman"/>
          <w:i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i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i/>
          <w:sz w:val="24"/>
          <w:szCs w:val="24"/>
        </w:rPr>
        <w:t>, который</w:t>
      </w:r>
      <w:r w:rsidR="001E18DD" w:rsidRPr="002D54EF">
        <w:rPr>
          <w:rFonts w:ascii="Times New Roman CYR" w:hAnsi="Times New Roman CYR" w:cs="Times New Roman"/>
          <w:i/>
          <w:sz w:val="24"/>
          <w:szCs w:val="24"/>
        </w:rPr>
        <w:t xml:space="preserve"> выявил </w:t>
      </w:r>
      <w:r w:rsidRPr="002D54EF">
        <w:rPr>
          <w:rFonts w:ascii="Times New Roman CYR" w:hAnsi="Times New Roman CYR" w:cs="Times New Roman"/>
          <w:i/>
          <w:sz w:val="24"/>
          <w:szCs w:val="24"/>
        </w:rPr>
        <w:t>устойчивость при</w:t>
      </w:r>
      <w:r w:rsidR="001E18DD" w:rsidRPr="002D54EF">
        <w:rPr>
          <w:rFonts w:ascii="Times New Roman CYR" w:hAnsi="Times New Roman CYR" w:cs="Times New Roman"/>
          <w:i/>
          <w:sz w:val="24"/>
          <w:szCs w:val="24"/>
        </w:rPr>
        <w:t xml:space="preserve"> критически низкой рентабельности (0,7%). </w:t>
      </w:r>
      <w:r w:rsidRPr="002D54EF">
        <w:rPr>
          <w:rFonts w:ascii="Times New Roman CYR" w:hAnsi="Times New Roman CYR" w:cs="Times New Roman"/>
          <w:i/>
          <w:sz w:val="24"/>
          <w:szCs w:val="24"/>
        </w:rPr>
        <w:t>По результатам анализа выявлены о</w:t>
      </w:r>
      <w:r w:rsidR="001E18DD" w:rsidRPr="002D54EF">
        <w:rPr>
          <w:rFonts w:ascii="Times New Roman CYR" w:hAnsi="Times New Roman CYR" w:cs="Times New Roman"/>
          <w:i/>
          <w:sz w:val="24"/>
          <w:szCs w:val="24"/>
        </w:rPr>
        <w:t xml:space="preserve">сновные угрозы: зависимость от поставщиков, неэффективное управление запасами, риск потери ликвидности. </w:t>
      </w:r>
      <w:r w:rsidRPr="002D54EF">
        <w:rPr>
          <w:rFonts w:ascii="Times New Roman CYR" w:hAnsi="Times New Roman CYR" w:cs="Times New Roman"/>
          <w:i/>
          <w:sz w:val="24"/>
          <w:szCs w:val="24"/>
        </w:rPr>
        <w:t>Разработаны р</w:t>
      </w:r>
      <w:r w:rsidR="001E18DD" w:rsidRPr="002D54EF">
        <w:rPr>
          <w:rFonts w:ascii="Times New Roman CYR" w:hAnsi="Times New Roman CYR" w:cs="Times New Roman"/>
          <w:i/>
          <w:sz w:val="24"/>
          <w:szCs w:val="24"/>
        </w:rPr>
        <w:t>екомендации: оптимизация затрат, диверсификация услуг, улучшение управления оборотными средствами, внедрение фин</w:t>
      </w:r>
      <w:r w:rsidRPr="002D54EF">
        <w:rPr>
          <w:rFonts w:ascii="Times New Roman CYR" w:hAnsi="Times New Roman CYR" w:cs="Times New Roman"/>
          <w:i/>
          <w:sz w:val="24"/>
          <w:szCs w:val="24"/>
        </w:rPr>
        <w:t>ансового</w:t>
      </w:r>
      <w:r w:rsidR="001E18DD" w:rsidRPr="002D54EF">
        <w:rPr>
          <w:rFonts w:ascii="Times New Roman CYR" w:hAnsi="Times New Roman CYR" w:cs="Times New Roman"/>
          <w:i/>
          <w:sz w:val="24"/>
          <w:szCs w:val="24"/>
        </w:rPr>
        <w:t xml:space="preserve"> планирования.</w:t>
      </w:r>
    </w:p>
    <w:p w14:paraId="3801964B" w14:textId="69FFAFD5" w:rsidR="00F9348E" w:rsidRPr="002D54EF" w:rsidRDefault="00F9348E" w:rsidP="000B6E52">
      <w:pPr>
        <w:spacing w:before="120" w:after="120" w:line="240" w:lineRule="auto"/>
        <w:ind w:firstLine="567"/>
        <w:rPr>
          <w:rFonts w:ascii="Times New Roman CYR" w:hAnsi="Times New Roman CYR" w:cs="Times New Roman"/>
          <w:i/>
          <w:sz w:val="24"/>
          <w:szCs w:val="24"/>
        </w:rPr>
      </w:pPr>
      <w:r w:rsidRPr="002D54EF">
        <w:rPr>
          <w:rFonts w:ascii="Times New Roman CYR" w:hAnsi="Times New Roman CYR" w:cs="Times New Roman"/>
          <w:b/>
          <w:i/>
          <w:sz w:val="24"/>
          <w:szCs w:val="24"/>
        </w:rPr>
        <w:t>Ключевые слова и словосочетания</w:t>
      </w:r>
      <w:r w:rsidRPr="002D54EF">
        <w:rPr>
          <w:rFonts w:ascii="Times New Roman CYR" w:hAnsi="Times New Roman CYR" w:cs="Times New Roman"/>
          <w:i/>
          <w:sz w:val="24"/>
          <w:szCs w:val="24"/>
        </w:rPr>
        <w:t xml:space="preserve">: </w:t>
      </w:r>
      <w:r w:rsidR="001E18DD" w:rsidRPr="002D54EF">
        <w:rPr>
          <w:rFonts w:ascii="Times New Roman CYR" w:hAnsi="Times New Roman CYR" w:cs="Times New Roman"/>
          <w:i/>
          <w:sz w:val="24"/>
          <w:szCs w:val="24"/>
        </w:rPr>
        <w:t>финансовая устойчивость, рентабельность, себестоимость, оборачиваемость, оптимизация.</w:t>
      </w:r>
    </w:p>
    <w:p w14:paraId="2FEF94DD" w14:textId="77777777" w:rsidR="00F9348E" w:rsidRPr="002D54EF" w:rsidRDefault="00F9348E" w:rsidP="000B6E52">
      <w:pPr>
        <w:spacing w:before="120" w:after="120" w:line="240" w:lineRule="auto"/>
        <w:jc w:val="center"/>
        <w:rPr>
          <w:rFonts w:ascii="Times New Roman CYR" w:hAnsi="Times New Roman CYR" w:cs="Times New Roman"/>
          <w:b/>
          <w:sz w:val="24"/>
          <w:szCs w:val="24"/>
          <w:lang w:val="en-US"/>
        </w:rPr>
      </w:pPr>
      <w:r w:rsidRPr="002D54EF">
        <w:rPr>
          <w:rFonts w:ascii="Times New Roman CYR" w:hAnsi="Times New Roman CYR" w:cs="Times New Roman"/>
          <w:b/>
          <w:sz w:val="24"/>
          <w:szCs w:val="24"/>
          <w:lang w:val="en-US"/>
        </w:rPr>
        <w:t>Analysis and assessment of the financial component of the organization's economic security</w:t>
      </w:r>
    </w:p>
    <w:p w14:paraId="2F205945" w14:textId="77777777" w:rsidR="000966E7" w:rsidRPr="002D54EF" w:rsidRDefault="000966E7" w:rsidP="00153570">
      <w:pPr>
        <w:spacing w:before="120" w:after="120" w:line="240" w:lineRule="auto"/>
        <w:ind w:firstLine="567"/>
        <w:jc w:val="both"/>
        <w:rPr>
          <w:rFonts w:ascii="Times New Roman CYR" w:hAnsi="Times New Roman CYR" w:cs="Times New Roman"/>
          <w:i/>
          <w:sz w:val="24"/>
          <w:szCs w:val="24"/>
          <w:lang w:val="en-US"/>
        </w:rPr>
      </w:pPr>
      <w:r w:rsidRPr="002D54EF">
        <w:rPr>
          <w:rFonts w:ascii="Times New Roman CYR" w:hAnsi="Times New Roman CYR" w:cs="Times New Roman"/>
          <w:i/>
          <w:sz w:val="24"/>
          <w:szCs w:val="24"/>
          <w:lang w:val="en-US"/>
        </w:rPr>
        <w:t xml:space="preserve">The article provides an analysis of </w:t>
      </w:r>
      <w:proofErr w:type="spellStart"/>
      <w:r w:rsidRPr="002D54EF">
        <w:rPr>
          <w:rFonts w:ascii="Times New Roman CYR" w:hAnsi="Times New Roman CYR" w:cs="Times New Roman"/>
          <w:i/>
          <w:sz w:val="24"/>
          <w:szCs w:val="24"/>
          <w:lang w:val="en-US"/>
        </w:rPr>
        <w:t>Chisty</w:t>
      </w:r>
      <w:proofErr w:type="spellEnd"/>
      <w:r w:rsidRPr="002D54EF">
        <w:rPr>
          <w:rFonts w:ascii="Times New Roman CYR" w:hAnsi="Times New Roman CYR" w:cs="Times New Roman"/>
          <w:i/>
          <w:sz w:val="24"/>
          <w:szCs w:val="24"/>
          <w:lang w:val="en-US"/>
        </w:rPr>
        <w:t xml:space="preserve"> </w:t>
      </w:r>
      <w:proofErr w:type="spellStart"/>
      <w:r w:rsidRPr="002D54EF">
        <w:rPr>
          <w:rFonts w:ascii="Times New Roman CYR" w:hAnsi="Times New Roman CYR" w:cs="Times New Roman"/>
          <w:i/>
          <w:sz w:val="24"/>
          <w:szCs w:val="24"/>
          <w:lang w:val="en-US"/>
        </w:rPr>
        <w:t>Dvor</w:t>
      </w:r>
      <w:proofErr w:type="spellEnd"/>
      <w:r w:rsidRPr="002D54EF">
        <w:rPr>
          <w:rFonts w:ascii="Times New Roman CYR" w:hAnsi="Times New Roman CYR" w:cs="Times New Roman"/>
          <w:i/>
          <w:sz w:val="24"/>
          <w:szCs w:val="24"/>
          <w:lang w:val="en-US"/>
        </w:rPr>
        <w:t xml:space="preserve"> LLC, which revealed stability at a critically low profitability (0.7%). The analysis revealed the main threats: dependence on suppliers, inefficient inventory management, and the risk of loss of liquidity. Recommendations have been developed: cost optimization, diversification of services, improvement of working capital management, and implementation of financial planning.</w:t>
      </w:r>
    </w:p>
    <w:p w14:paraId="00065664" w14:textId="070D8935" w:rsidR="001E18DD" w:rsidRPr="002D54EF" w:rsidRDefault="00F9348E" w:rsidP="000B6E52">
      <w:pPr>
        <w:spacing w:before="120" w:after="120" w:line="240" w:lineRule="auto"/>
        <w:ind w:firstLine="539"/>
        <w:rPr>
          <w:rFonts w:ascii="Times New Roman CYR" w:hAnsi="Times New Roman CYR" w:cs="Times New Roman"/>
          <w:i/>
          <w:sz w:val="24"/>
          <w:szCs w:val="24"/>
          <w:lang w:val="en-US"/>
        </w:rPr>
      </w:pPr>
      <w:r w:rsidRPr="002D54EF">
        <w:rPr>
          <w:rFonts w:ascii="Times New Roman CYR" w:hAnsi="Times New Roman CYR" w:cs="Times New Roman"/>
          <w:b/>
          <w:i/>
          <w:sz w:val="24"/>
          <w:szCs w:val="24"/>
          <w:lang w:val="en-US"/>
        </w:rPr>
        <w:t>Keywords</w:t>
      </w:r>
      <w:r w:rsidRPr="002D54EF">
        <w:rPr>
          <w:rFonts w:ascii="Times New Roman CYR" w:hAnsi="Times New Roman CYR" w:cs="Times New Roman"/>
          <w:i/>
          <w:sz w:val="24"/>
          <w:szCs w:val="24"/>
          <w:lang w:val="en-US"/>
        </w:rPr>
        <w:t xml:space="preserve">: </w:t>
      </w:r>
      <w:r w:rsidR="001E18DD" w:rsidRPr="002D54EF">
        <w:rPr>
          <w:rFonts w:ascii="Times New Roman CYR" w:hAnsi="Times New Roman CYR" w:cs="Times New Roman"/>
          <w:i/>
          <w:sz w:val="24"/>
          <w:szCs w:val="24"/>
          <w:lang w:val="en-US"/>
        </w:rPr>
        <w:t>financial stability, profitability, cost price, turnover, optimization.</w:t>
      </w:r>
    </w:p>
    <w:p w14:paraId="416659A7" w14:textId="32A1DBD4" w:rsidR="00310D8B" w:rsidRPr="002D54EF" w:rsidRDefault="00310D8B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В условиях нестабильной экономической среды и усиления конкурентной борьбы обеспечение финансовой устойчивости предприятия становится критически важным аспектом его стратегического развития</w:t>
      </w:r>
      <w:r w:rsidR="0040739C" w:rsidRPr="002D54EF">
        <w:rPr>
          <w:rFonts w:ascii="Times New Roman CYR" w:hAnsi="Times New Roman CYR"/>
          <w:sz w:val="24"/>
          <w:szCs w:val="24"/>
        </w:rPr>
        <w:t xml:space="preserve"> </w:t>
      </w:r>
      <w:r w:rsidR="000B6E52" w:rsidRPr="002D54EF">
        <w:rPr>
          <w:rFonts w:ascii="Times New Roman CYR" w:hAnsi="Times New Roman CYR" w:cs="Times New Roman"/>
          <w:sz w:val="24"/>
          <w:szCs w:val="24"/>
        </w:rPr>
        <w:t xml:space="preserve">[1, с. 15]. </w:t>
      </w:r>
      <w:r w:rsidRPr="002D54EF">
        <w:rPr>
          <w:rFonts w:ascii="Times New Roman CYR" w:hAnsi="Times New Roman CYR" w:cs="Times New Roman"/>
          <w:sz w:val="24"/>
          <w:szCs w:val="24"/>
        </w:rPr>
        <w:t>Финансовая составляющая экономической безопасности представляет собой систему мер, направленных на защиту активов компании, поддержание ее платежеспособности и создание условий для устойчивого роста. В данной статье проводится детальный ан</w:t>
      </w:r>
      <w:r w:rsidR="00D4560D" w:rsidRPr="002D54EF">
        <w:rPr>
          <w:rFonts w:ascii="Times New Roman CYR" w:hAnsi="Times New Roman CYR" w:cs="Times New Roman"/>
          <w:sz w:val="24"/>
          <w:szCs w:val="24"/>
        </w:rPr>
        <w:t xml:space="preserve">ализ финансового состояния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="00D4560D"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за 2023 год, выявляются ключевые угрозы экономической безопасности и разрабатываются практические рекомендации по их устранению.</w:t>
      </w:r>
    </w:p>
    <w:p w14:paraId="0E8A36EF" w14:textId="77777777" w:rsidR="001C1539" w:rsidRPr="002D54EF" w:rsidRDefault="001C1539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Целью данного исследования является детальная оценка финансовой составляющей организации, включая анализ её доходов, расходов, рентабельности, ликвидности и общей финансовой устойчивости в текущих рыночных условиях.</w:t>
      </w:r>
    </w:p>
    <w:p w14:paraId="676A2B70" w14:textId="4D0E994D" w:rsidR="001C1539" w:rsidRPr="002D54EF" w:rsidRDefault="001C1539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В качестве объекта исследования выступает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– предприятие, функционирующее в сфере жилищно-коммунального хозяйства и предоставляющее услуги по уборке, вывозу мусора и благоустройству прилегающих территорий в рамках городской инфраструктуры.</w:t>
      </w:r>
    </w:p>
    <w:p w14:paraId="6F1165DD" w14:textId="25A73C25" w:rsidR="001C1539" w:rsidRPr="002D54EF" w:rsidRDefault="001C1539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Для оценки финансово-экономического состояния компании были тщательно проанализированы официальная бухгалтерская отчетность ООО</w:t>
      </w:r>
      <w:r w:rsidR="00D4560D" w:rsidRPr="002D54EF">
        <w:rPr>
          <w:rFonts w:ascii="Times New Roman CYR" w:hAnsi="Times New Roman CYR" w:cs="Times New Roman"/>
          <w:sz w:val="24"/>
          <w:szCs w:val="24"/>
        </w:rPr>
        <w:t xml:space="preserve">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="00D4560D"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</w:t>
      </w:r>
      <w:r w:rsidR="0040739C" w:rsidRPr="002D54EF">
        <w:rPr>
          <w:rFonts w:ascii="Times New Roman CYR" w:hAnsi="Times New Roman CYR" w:cs="Times New Roman"/>
          <w:sz w:val="24"/>
          <w:szCs w:val="24"/>
        </w:rPr>
        <w:t xml:space="preserve">[11] </w:t>
      </w:r>
      <w:r w:rsidRPr="002D54EF">
        <w:rPr>
          <w:rFonts w:ascii="Times New Roman CYR" w:hAnsi="Times New Roman CYR" w:cs="Times New Roman"/>
          <w:sz w:val="24"/>
          <w:szCs w:val="24"/>
        </w:rPr>
        <w:t>за 2023 финансовый год, включающая полный комплект форм, а также внутренние учетные данные исследуемого предприятия, отражающие детальную информацию о производственно-хозяйственной деятельности, структуре затрат, кредиторской и дебиторской задолженности, налоговых обязательствах и прочих аспектах финансово-экономической деятельности организации.</w:t>
      </w:r>
    </w:p>
    <w:p w14:paraId="097DCAFF" w14:textId="217516DE" w:rsidR="009D0BEF" w:rsidRPr="002D54EF" w:rsidRDefault="009D0BEF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представляет собой современную клининговую компанию, осуществляющую профессиональную деятельность в сфере уборки помещений и благоустройства территорий. Компания специализируется на комплексном обслуживании коммерческих, муниципальных и частных объектов, предлагая широкий спектр услуг от ежедневной поддерживающей уборки до сезонных работ по очистке прилегающих территорий. Основными </w:t>
      </w:r>
      <w:r w:rsidRPr="002D54EF">
        <w:rPr>
          <w:rFonts w:ascii="Times New Roman CYR" w:hAnsi="Times New Roman CYR" w:cs="Times New Roman"/>
          <w:sz w:val="24"/>
          <w:szCs w:val="24"/>
        </w:rPr>
        <w:lastRenderedPageBreak/>
        <w:t>направлениями деятельности организации являются профессиональная уборка офисных помещений, торговых центров и бизнес-центров, включающая как регулярное обслуживание, так и генеральные уборки после ремонтов, а также специализированные виды очистки с использованием современного оборудования и экологически безопасных моющих средств.</w:t>
      </w:r>
    </w:p>
    <w:p w14:paraId="39E147EB" w14:textId="74B129FC" w:rsidR="009D0BEF" w:rsidRPr="002D54EF" w:rsidRDefault="009D0BEF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успешно сотрудничает с управляющими компаниями жилищного сектора, учреждениями социальной сферы и коммерческими предприятиями. В клиентскую базу входят как крупные корпоративные заказчики, заключающие долгосрочные контракты, так и частные клиенты, нуждающиеся в разовых услугах по уборке загородных домов или коттеджных поселков. Для обеспечения качественного выполнения работ компания располагает собственным парком специализированной техники и штатом квалифицированных сотрудников, прошедших профессиональную подготовку.</w:t>
      </w:r>
    </w:p>
    <w:p w14:paraId="1290CD74" w14:textId="6CFFC3A0" w:rsidR="009D0BEF" w:rsidRPr="002D54EF" w:rsidRDefault="009D0BEF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Особое внимание в деятельности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уделяется благоустройству территорий, включающему круглогодичный комплекс мероприятий - от уборки снега и обработки дорожных покрытий в зимний период до ухода за зелеными насаждениями в теплое время года. Дополнительными направлениями работы являются услуги по вывозу мусора и твердых коммунальных отходов, аренде уборочной техники, а также санитарно-эпидемиологическому обслуживанию объектов. Конкурентные преимущества компании заключаются в применении инновационных технологий уборки, гибкой системе ценообразования и наличии всей необходимой разрешительной документации, что позволяет занимать устойчивые позиции на региональном рынке клининговых услуг.</w:t>
      </w:r>
    </w:p>
    <w:p w14:paraId="58268EC4" w14:textId="48222DA2" w:rsidR="009D0BEF" w:rsidRPr="002D54EF" w:rsidRDefault="009D0BEF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Перспективы развития бизнеса связаны с планами по внедрению автоматизированных систем уборки, расширению спектра предлагаемых услуг за счет дезинфекционных и </w:t>
      </w:r>
      <w:proofErr w:type="spellStart"/>
      <w:r w:rsidRPr="002D54EF">
        <w:rPr>
          <w:rFonts w:ascii="Times New Roman CYR" w:hAnsi="Times New Roman CYR" w:cs="Times New Roman"/>
          <w:sz w:val="24"/>
          <w:szCs w:val="24"/>
        </w:rPr>
        <w:t>дератизационных</w:t>
      </w:r>
      <w:proofErr w:type="spellEnd"/>
      <w:r w:rsidRPr="002D54EF">
        <w:rPr>
          <w:rFonts w:ascii="Times New Roman CYR" w:hAnsi="Times New Roman CYR" w:cs="Times New Roman"/>
          <w:sz w:val="24"/>
          <w:szCs w:val="24"/>
        </w:rPr>
        <w:t xml:space="preserve"> работ, а также активному участию в государственных закупках. Стабильный рост клиентской базы и положительная деловая репутация свидетельствуют о значительном потенциале компании для дальнейшего расширения деятельности, в том числе через развитие франчайзинговой сети в соседних регионах. Анализ финансово-хозяйственных показателей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позволяет оценить эффективность текущей бизнес-модели и определить направления для оптимизации операционной деятельности.</w:t>
      </w:r>
    </w:p>
    <w:p w14:paraId="5A3FD4CF" w14:textId="77777777" w:rsidR="0012557E" w:rsidRPr="002D54EF" w:rsidRDefault="0012557E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Экономическая безопасность организации представляет собой состояние защищенности ее жизненно важных интересов от потенциальных внутренних и внешних угроз, при этом финансовая составляющая данной безопасности включает несколько ключевых аспектов: поддержание достаточного уровня ликвидности и платежеспособности, обеспечение финансовой устойчивости, достижение оптимальной рентабельности деятельности и эффективное использование имеющихся ресурсов. Для комплексной оценки финансовой безопасности предприятия применяется система взаимосвязанных показателей, среди которых особое значение имеют показатели ликвидности, характеризующие способность компании своевременно выполнять свои финансовые обязательства, а также показатели финансовой устойчивости, отражающие оптимальность структуры капитала и степень независимости от внешних источников финансирования. Не менее важными являются показатели рентабельности, демонстрирующие эффективность использования ресурсного потенциала организации, и показатели деловой активности, которые позволяют оценить интенсивность использования активов в хозяйственной деятельности. Совокупный анализ этих показателей дает возможность сформировать целостное представление о финансовом состоянии предприятия и его способности противостоять потенциальным экономическим угрозам.</w:t>
      </w:r>
    </w:p>
    <w:p w14:paraId="3E19AB8F" w14:textId="29195819" w:rsidR="00246615" w:rsidRPr="002D54EF" w:rsidRDefault="00246615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По данным бухгалтерской отчетности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проведем анализ финансовых результатов </w:t>
      </w:r>
      <w:r w:rsidRPr="002D54EF">
        <w:rPr>
          <w:rFonts w:ascii="Times New Roman CYR" w:hAnsi="Times New Roman CYR" w:cs="Times New Roman"/>
          <w:i/>
          <w:sz w:val="24"/>
          <w:szCs w:val="24"/>
        </w:rPr>
        <w:t>(таблица 1)</w:t>
      </w:r>
      <w:r w:rsidRPr="002D54EF">
        <w:rPr>
          <w:rFonts w:ascii="Times New Roman CYR" w:hAnsi="Times New Roman CYR" w:cs="Times New Roman"/>
          <w:sz w:val="24"/>
          <w:szCs w:val="24"/>
        </w:rPr>
        <w:t>.</w:t>
      </w:r>
    </w:p>
    <w:p w14:paraId="292C1518" w14:textId="0621060E" w:rsidR="0012557E" w:rsidRPr="002D54EF" w:rsidRDefault="0012557E" w:rsidP="0046161C">
      <w:pPr>
        <w:spacing w:after="0" w:line="240" w:lineRule="auto"/>
        <w:ind w:firstLine="709"/>
        <w:jc w:val="right"/>
        <w:rPr>
          <w:rFonts w:ascii="Times New Roman CYR" w:hAnsi="Times New Roman CYR" w:cs="Times New Roman"/>
          <w:i/>
          <w:sz w:val="24"/>
          <w:szCs w:val="24"/>
        </w:rPr>
      </w:pPr>
      <w:r w:rsidRPr="002D54EF">
        <w:rPr>
          <w:rFonts w:ascii="Times New Roman CYR" w:hAnsi="Times New Roman CYR" w:cs="Times New Roman"/>
          <w:i/>
          <w:sz w:val="24"/>
          <w:szCs w:val="24"/>
        </w:rPr>
        <w:t>Таблица 1.</w:t>
      </w:r>
      <w:r w:rsidR="00D4560D" w:rsidRPr="002D54EF">
        <w:rPr>
          <w:rFonts w:ascii="Times New Roman CYR" w:hAnsi="Times New Roman CYR" w:cs="Times New Roman"/>
          <w:i/>
          <w:sz w:val="24"/>
          <w:szCs w:val="24"/>
        </w:rPr>
        <w:t xml:space="preserve"> </w:t>
      </w:r>
      <w:r w:rsidR="00D4560D" w:rsidRPr="002D54EF">
        <w:rPr>
          <w:rFonts w:ascii="Times New Roman CYR" w:hAnsi="Times New Roman CYR" w:cs="Times New Roman"/>
          <w:sz w:val="24"/>
          <w:szCs w:val="24"/>
        </w:rPr>
        <w:t xml:space="preserve">Финансовые результаты деятельности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="00D4560D" w:rsidRPr="002D54EF">
        <w:rPr>
          <w:rFonts w:ascii="Times New Roman CYR" w:hAnsi="Times New Roman CYR" w:cs="Times New Roman"/>
          <w:sz w:val="24"/>
          <w:szCs w:val="24"/>
        </w:rPr>
        <w:t>ООО 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="00D4560D" w:rsidRPr="002D54EF">
        <w:rPr>
          <w:rFonts w:ascii="Times New Roman CYR" w:hAnsi="Times New Roman CYR" w:cs="Times New Roman"/>
          <w:sz w:val="24"/>
          <w:szCs w:val="24"/>
        </w:rPr>
        <w:t xml:space="preserve"> за 2023 год.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81"/>
        <w:gridCol w:w="1276"/>
        <w:gridCol w:w="1935"/>
        <w:gridCol w:w="1691"/>
        <w:gridCol w:w="1045"/>
      </w:tblGrid>
      <w:tr w:rsidR="00741A4C" w:rsidRPr="002D54EF" w14:paraId="2AA160C7" w14:textId="77777777" w:rsidTr="00153570">
        <w:tc>
          <w:tcPr>
            <w:tcW w:w="3681" w:type="dxa"/>
          </w:tcPr>
          <w:p w14:paraId="1B31FE6E" w14:textId="644CF88D" w:rsidR="00741A4C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П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оказатель</w:t>
            </w:r>
          </w:p>
        </w:tc>
        <w:tc>
          <w:tcPr>
            <w:tcW w:w="1276" w:type="dxa"/>
          </w:tcPr>
          <w:p w14:paraId="67FA8B17" w14:textId="21BC4A1C" w:rsidR="00741A4C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З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начение</w:t>
            </w:r>
            <w:bookmarkStart w:id="0" w:name="_GoBack"/>
            <w:bookmarkEnd w:id="0"/>
          </w:p>
        </w:tc>
        <w:tc>
          <w:tcPr>
            <w:tcW w:w="1935" w:type="dxa"/>
          </w:tcPr>
          <w:p w14:paraId="11B6D5FD" w14:textId="2A87DCE8" w:rsidR="00741A4C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Д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оля в выручке, %</w:t>
            </w:r>
          </w:p>
        </w:tc>
        <w:tc>
          <w:tcPr>
            <w:tcW w:w="1691" w:type="dxa"/>
          </w:tcPr>
          <w:p w14:paraId="2E3BFC37" w14:textId="5F298420" w:rsidR="00741A4C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Н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ормативное значение</w:t>
            </w:r>
          </w:p>
        </w:tc>
        <w:tc>
          <w:tcPr>
            <w:tcW w:w="0" w:type="auto"/>
          </w:tcPr>
          <w:p w14:paraId="4E479163" w14:textId="6E0E827B" w:rsidR="00741A4C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О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ценка</w:t>
            </w:r>
          </w:p>
        </w:tc>
      </w:tr>
      <w:tr w:rsidR="00741A4C" w:rsidRPr="002D54EF" w14:paraId="4B4E408C" w14:textId="77777777" w:rsidTr="00153570">
        <w:tc>
          <w:tcPr>
            <w:tcW w:w="3681" w:type="dxa"/>
          </w:tcPr>
          <w:p w14:paraId="0C0A75A8" w14:textId="3B0A2C56" w:rsidR="00741A4C" w:rsidRPr="002D54EF" w:rsidRDefault="00741A4C" w:rsidP="00F965E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Выручка</w:t>
            </w:r>
            <w:r w:rsidR="00E47BBA" w:rsidRPr="002D54EF">
              <w:rPr>
                <w:rFonts w:ascii="Times New Roman CYR" w:hAnsi="Times New Roman CYR" w:cs="Times New Roman"/>
                <w:sz w:val="24"/>
                <w:szCs w:val="24"/>
              </w:rPr>
              <w:t>, тыс. руб.</w:t>
            </w:r>
          </w:p>
        </w:tc>
        <w:tc>
          <w:tcPr>
            <w:tcW w:w="1276" w:type="dxa"/>
          </w:tcPr>
          <w:p w14:paraId="08506CD3" w14:textId="362B38D5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54 700</w:t>
            </w:r>
          </w:p>
        </w:tc>
        <w:tc>
          <w:tcPr>
            <w:tcW w:w="1935" w:type="dxa"/>
          </w:tcPr>
          <w:p w14:paraId="106B9660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100</w:t>
            </w:r>
          </w:p>
        </w:tc>
        <w:tc>
          <w:tcPr>
            <w:tcW w:w="1691" w:type="dxa"/>
          </w:tcPr>
          <w:p w14:paraId="0A748B70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341601C2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-</w:t>
            </w:r>
          </w:p>
        </w:tc>
      </w:tr>
      <w:tr w:rsidR="00741A4C" w:rsidRPr="002D54EF" w14:paraId="04A32F2A" w14:textId="77777777" w:rsidTr="00153570">
        <w:tc>
          <w:tcPr>
            <w:tcW w:w="3681" w:type="dxa"/>
          </w:tcPr>
          <w:p w14:paraId="140F293B" w14:textId="7024D77B" w:rsidR="00741A4C" w:rsidRPr="002D54EF" w:rsidRDefault="00741A4C" w:rsidP="00F965E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Себестоимость</w:t>
            </w:r>
            <w:r w:rsidR="00246615" w:rsidRPr="002D54EF">
              <w:rPr>
                <w:rFonts w:ascii="Times New Roman CYR" w:hAnsi="Times New Roman CYR" w:cs="Times New Roman"/>
                <w:sz w:val="24"/>
                <w:szCs w:val="24"/>
              </w:rPr>
              <w:t>, тыс. руб.</w:t>
            </w:r>
          </w:p>
        </w:tc>
        <w:tc>
          <w:tcPr>
            <w:tcW w:w="1276" w:type="dxa"/>
          </w:tcPr>
          <w:p w14:paraId="24AD8544" w14:textId="3C63D6D3" w:rsidR="00741A4C" w:rsidRPr="002D54EF" w:rsidRDefault="00246615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54 343</w:t>
            </w:r>
          </w:p>
        </w:tc>
        <w:tc>
          <w:tcPr>
            <w:tcW w:w="1935" w:type="dxa"/>
          </w:tcPr>
          <w:p w14:paraId="2FDE4A76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99,3</w:t>
            </w:r>
          </w:p>
        </w:tc>
        <w:tc>
          <w:tcPr>
            <w:tcW w:w="1691" w:type="dxa"/>
          </w:tcPr>
          <w:p w14:paraId="7DDB52A7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61FEBCF0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-</w:t>
            </w:r>
          </w:p>
        </w:tc>
      </w:tr>
      <w:tr w:rsidR="00741A4C" w:rsidRPr="002D54EF" w14:paraId="564E99A2" w14:textId="77777777" w:rsidTr="00153570">
        <w:tc>
          <w:tcPr>
            <w:tcW w:w="3681" w:type="dxa"/>
          </w:tcPr>
          <w:p w14:paraId="035507EC" w14:textId="25F63037" w:rsidR="00741A4C" w:rsidRPr="002D54EF" w:rsidRDefault="00741A4C" w:rsidP="00F965E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Валовая прибыль</w:t>
            </w:r>
            <w:r w:rsidR="00246615" w:rsidRPr="002D54EF">
              <w:rPr>
                <w:rFonts w:ascii="Times New Roman CYR" w:hAnsi="Times New Roman CYR" w:cs="Times New Roman"/>
                <w:sz w:val="24"/>
                <w:szCs w:val="24"/>
              </w:rPr>
              <w:t>, тыс. руб.</w:t>
            </w:r>
          </w:p>
        </w:tc>
        <w:tc>
          <w:tcPr>
            <w:tcW w:w="1276" w:type="dxa"/>
          </w:tcPr>
          <w:p w14:paraId="701D9BE8" w14:textId="1AF41A9F" w:rsidR="00741A4C" w:rsidRPr="002D54EF" w:rsidRDefault="00246615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357</w:t>
            </w:r>
          </w:p>
        </w:tc>
        <w:tc>
          <w:tcPr>
            <w:tcW w:w="1935" w:type="dxa"/>
          </w:tcPr>
          <w:p w14:paraId="3AF315CF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0,7</w:t>
            </w:r>
          </w:p>
        </w:tc>
        <w:tc>
          <w:tcPr>
            <w:tcW w:w="1691" w:type="dxa"/>
          </w:tcPr>
          <w:p w14:paraId="1A9880CA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67919002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-</w:t>
            </w:r>
          </w:p>
        </w:tc>
      </w:tr>
      <w:tr w:rsidR="00741A4C" w:rsidRPr="002D54EF" w14:paraId="0116B4D8" w14:textId="77777777" w:rsidTr="00153570">
        <w:tc>
          <w:tcPr>
            <w:tcW w:w="3681" w:type="dxa"/>
          </w:tcPr>
          <w:p w14:paraId="2068ADD3" w14:textId="7FB854AC" w:rsidR="00741A4C" w:rsidRPr="002D54EF" w:rsidRDefault="00741A4C" w:rsidP="00F965E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lastRenderedPageBreak/>
              <w:t>Прибыль от продаж</w:t>
            </w:r>
            <w:r w:rsidR="00246615" w:rsidRPr="002D54EF">
              <w:rPr>
                <w:rFonts w:ascii="Times New Roman CYR" w:hAnsi="Times New Roman CYR" w:cs="Times New Roman"/>
                <w:sz w:val="24"/>
                <w:szCs w:val="24"/>
              </w:rPr>
              <w:t>, тыс. руб.</w:t>
            </w:r>
          </w:p>
        </w:tc>
        <w:tc>
          <w:tcPr>
            <w:tcW w:w="1276" w:type="dxa"/>
          </w:tcPr>
          <w:p w14:paraId="6AE1468D" w14:textId="04D5E3CC" w:rsidR="00741A4C" w:rsidRPr="002D54EF" w:rsidRDefault="00246615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357</w:t>
            </w:r>
          </w:p>
        </w:tc>
        <w:tc>
          <w:tcPr>
            <w:tcW w:w="1935" w:type="dxa"/>
          </w:tcPr>
          <w:p w14:paraId="5F5C7353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0,7</w:t>
            </w:r>
          </w:p>
        </w:tc>
        <w:tc>
          <w:tcPr>
            <w:tcW w:w="1691" w:type="dxa"/>
          </w:tcPr>
          <w:p w14:paraId="78C12AC3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14:paraId="25928576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-</w:t>
            </w:r>
          </w:p>
        </w:tc>
      </w:tr>
      <w:tr w:rsidR="00741A4C" w:rsidRPr="002D54EF" w14:paraId="1BB4FDF5" w14:textId="77777777" w:rsidTr="00153570">
        <w:tc>
          <w:tcPr>
            <w:tcW w:w="3681" w:type="dxa"/>
          </w:tcPr>
          <w:p w14:paraId="5F24860D" w14:textId="18BD0107" w:rsidR="00741A4C" w:rsidRPr="002D54EF" w:rsidRDefault="00741A4C" w:rsidP="00F965E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Рентабельность продаж</w:t>
            </w:r>
            <w:r w:rsidR="00E47BBA" w:rsidRPr="002D54EF">
              <w:rPr>
                <w:rFonts w:ascii="Times New Roman CYR" w:hAnsi="Times New Roman CYR" w:cs="Times New Roman"/>
                <w:sz w:val="24"/>
                <w:szCs w:val="24"/>
              </w:rPr>
              <w:t>,</w:t>
            </w:r>
            <w:r w:rsidR="00246615" w:rsidRPr="002D54EF">
              <w:rPr>
                <w:rFonts w:ascii="Times New Roman CYR" w:hAnsi="Times New Roman CYR" w:cs="Times New Roman"/>
                <w:sz w:val="24"/>
                <w:szCs w:val="24"/>
              </w:rPr>
              <w:t xml:space="preserve"> </w:t>
            </w:r>
            <w:r w:rsidR="00E47BBA" w:rsidRPr="002D54EF">
              <w:rPr>
                <w:rFonts w:ascii="Times New Roman CYR" w:hAnsi="Times New Roman CYR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</w:tcPr>
          <w:p w14:paraId="17379AC9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0,7</w:t>
            </w:r>
          </w:p>
        </w:tc>
        <w:tc>
          <w:tcPr>
            <w:tcW w:w="1935" w:type="dxa"/>
          </w:tcPr>
          <w:p w14:paraId="4B39CBD6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</w:tcPr>
          <w:p w14:paraId="034DC123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&gt;5</w:t>
            </w:r>
          </w:p>
        </w:tc>
        <w:tc>
          <w:tcPr>
            <w:tcW w:w="0" w:type="auto"/>
          </w:tcPr>
          <w:p w14:paraId="58F720DF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Низкая</w:t>
            </w:r>
          </w:p>
        </w:tc>
      </w:tr>
      <w:tr w:rsidR="00741A4C" w:rsidRPr="002D54EF" w14:paraId="37070556" w14:textId="77777777" w:rsidTr="00153570">
        <w:tc>
          <w:tcPr>
            <w:tcW w:w="3681" w:type="dxa"/>
          </w:tcPr>
          <w:p w14:paraId="097F5C8D" w14:textId="168C203A" w:rsidR="00741A4C" w:rsidRPr="002D54EF" w:rsidRDefault="00741A4C" w:rsidP="00F965E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Рентабельность услуг</w:t>
            </w:r>
            <w:r w:rsidR="00246615" w:rsidRPr="002D54EF">
              <w:rPr>
                <w:rFonts w:ascii="Times New Roman CYR" w:hAnsi="Times New Roman CYR" w:cs="Times New Roman"/>
                <w:sz w:val="24"/>
                <w:szCs w:val="24"/>
              </w:rPr>
              <w:t>, %</w:t>
            </w:r>
          </w:p>
        </w:tc>
        <w:tc>
          <w:tcPr>
            <w:tcW w:w="1276" w:type="dxa"/>
          </w:tcPr>
          <w:p w14:paraId="760E37B4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0,7</w:t>
            </w:r>
          </w:p>
        </w:tc>
        <w:tc>
          <w:tcPr>
            <w:tcW w:w="1935" w:type="dxa"/>
          </w:tcPr>
          <w:p w14:paraId="1A7BF439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</w:tcPr>
          <w:p w14:paraId="2054DDB0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&gt;5</w:t>
            </w:r>
          </w:p>
        </w:tc>
        <w:tc>
          <w:tcPr>
            <w:tcW w:w="0" w:type="auto"/>
          </w:tcPr>
          <w:p w14:paraId="72C97E81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Низкая</w:t>
            </w:r>
          </w:p>
        </w:tc>
      </w:tr>
      <w:tr w:rsidR="00741A4C" w:rsidRPr="002D54EF" w14:paraId="483C1318" w14:textId="77777777" w:rsidTr="00153570">
        <w:tc>
          <w:tcPr>
            <w:tcW w:w="3681" w:type="dxa"/>
          </w:tcPr>
          <w:p w14:paraId="2364926E" w14:textId="36DB4FAB" w:rsidR="00741A4C" w:rsidRPr="002D54EF" w:rsidRDefault="00741A4C" w:rsidP="00F965E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Рентабельность активов</w:t>
            </w:r>
            <w:r w:rsidR="00246615" w:rsidRPr="002D54EF">
              <w:rPr>
                <w:rFonts w:ascii="Times New Roman CYR" w:hAnsi="Times New Roman CYR" w:cs="Times New Roman"/>
                <w:sz w:val="24"/>
                <w:szCs w:val="24"/>
              </w:rPr>
              <w:t>, %</w:t>
            </w:r>
          </w:p>
        </w:tc>
        <w:tc>
          <w:tcPr>
            <w:tcW w:w="1276" w:type="dxa"/>
          </w:tcPr>
          <w:p w14:paraId="645245CC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2,0</w:t>
            </w:r>
          </w:p>
        </w:tc>
        <w:tc>
          <w:tcPr>
            <w:tcW w:w="1935" w:type="dxa"/>
          </w:tcPr>
          <w:p w14:paraId="434C9A05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</w:tcPr>
          <w:p w14:paraId="6CBD95C5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&gt;8</w:t>
            </w:r>
          </w:p>
        </w:tc>
        <w:tc>
          <w:tcPr>
            <w:tcW w:w="0" w:type="auto"/>
          </w:tcPr>
          <w:p w14:paraId="40278C3F" w14:textId="77777777" w:rsidR="00741A4C" w:rsidRPr="002D54EF" w:rsidRDefault="00741A4C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Низкая</w:t>
            </w:r>
          </w:p>
        </w:tc>
      </w:tr>
    </w:tbl>
    <w:p w14:paraId="205BE790" w14:textId="7A90099F" w:rsidR="0012557E" w:rsidRPr="002D54EF" w:rsidRDefault="00246615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По данным </w:t>
      </w:r>
      <w:r w:rsidRPr="002D54EF">
        <w:rPr>
          <w:rFonts w:ascii="Times New Roman CYR" w:hAnsi="Times New Roman CYR" w:cs="Times New Roman"/>
          <w:i/>
          <w:sz w:val="24"/>
          <w:szCs w:val="24"/>
        </w:rPr>
        <w:t>таблицы 1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ф</w:t>
      </w:r>
      <w:r w:rsidR="00D4560D" w:rsidRPr="002D54EF">
        <w:rPr>
          <w:rFonts w:ascii="Times New Roman CYR" w:hAnsi="Times New Roman CYR" w:cs="Times New Roman"/>
          <w:sz w:val="24"/>
          <w:szCs w:val="24"/>
        </w:rPr>
        <w:t xml:space="preserve">инансовый анализ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="00D4560D" w:rsidRPr="002D54EF">
        <w:rPr>
          <w:rFonts w:ascii="Times New Roman CYR" w:hAnsi="Times New Roman CYR" w:cs="Times New Roman"/>
          <w:sz w:val="24"/>
          <w:szCs w:val="24"/>
        </w:rPr>
        <w:t xml:space="preserve"> выявляет серьезные проблемы в хозяйственной деятельности предприятия. При общей выручке компания демонстрирует крайне низкую эффективность работы - себестоимость услуг поглощает 99,3% выручки, оставляя лишь мизерные 0,7% от оборота. Показатели рентабельности находятся на критически низком уровне и значительно отстают от нормативных значений. Такое положение дел свидетельствует о системных проблемах в ценообразовании и управлении затратами, неэффективном использовании активов компании и работе фактически на грани безубыточности. Отсутствие финансовой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подушки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="00D4560D" w:rsidRPr="002D54EF">
        <w:rPr>
          <w:rFonts w:ascii="Times New Roman CYR" w:hAnsi="Times New Roman CYR" w:cs="Times New Roman"/>
          <w:sz w:val="24"/>
          <w:szCs w:val="24"/>
        </w:rPr>
        <w:t xml:space="preserve"> делает предприятие крайне уязвимым к любым рыночным колебаниям и ставит под угрозу его долгосрочную устойчивость. Требуется срочная разработка комплексных мер по оптимизации затратной части, пересмотру ценовой политики и повышению общей эффективности бизнес-процессов для вывода компании на приемлемый уровень рентабельности.</w:t>
      </w:r>
    </w:p>
    <w:p w14:paraId="00CF381D" w14:textId="4DDA0D42" w:rsidR="00D4560D" w:rsidRPr="002D54EF" w:rsidRDefault="00D4560D" w:rsidP="00F965E4">
      <w:pPr>
        <w:spacing w:after="0" w:line="240" w:lineRule="auto"/>
        <w:ind w:firstLine="709"/>
        <w:jc w:val="right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Анализ финансовой устойчивости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="00246615" w:rsidRPr="002D54EF">
        <w:rPr>
          <w:rFonts w:ascii="Times New Roman CYR" w:hAnsi="Times New Roman CYR" w:cs="Times New Roman"/>
          <w:sz w:val="24"/>
          <w:szCs w:val="24"/>
        </w:rPr>
        <w:t xml:space="preserve"> приведен в </w:t>
      </w:r>
      <w:r w:rsidR="00246615" w:rsidRPr="002D54EF">
        <w:rPr>
          <w:rFonts w:ascii="Times New Roman CYR" w:hAnsi="Times New Roman CYR" w:cs="Times New Roman"/>
          <w:i/>
          <w:sz w:val="24"/>
          <w:szCs w:val="24"/>
        </w:rPr>
        <w:t>таблице 2</w:t>
      </w:r>
      <w:r w:rsidR="00246615" w:rsidRPr="002D54EF">
        <w:rPr>
          <w:rFonts w:ascii="Times New Roman CYR" w:hAnsi="Times New Roman CYR" w:cs="Times New Roman"/>
          <w:sz w:val="24"/>
          <w:szCs w:val="24"/>
        </w:rPr>
        <w:t>.</w:t>
      </w:r>
      <w:r w:rsidRPr="002D54EF">
        <w:rPr>
          <w:rFonts w:ascii="Times New Roman CYR" w:hAnsi="Times New Roman CYR" w:cs="Times New Roman"/>
          <w:sz w:val="24"/>
          <w:szCs w:val="24"/>
        </w:rPr>
        <w:br/>
      </w:r>
      <w:r w:rsidR="00966C27" w:rsidRPr="002D54EF">
        <w:rPr>
          <w:rFonts w:ascii="Times New Roman CYR" w:hAnsi="Times New Roman CYR" w:cs="Times New Roman"/>
          <w:i/>
          <w:sz w:val="24"/>
          <w:szCs w:val="24"/>
        </w:rPr>
        <w:t xml:space="preserve">Таблица 2. </w:t>
      </w:r>
      <w:r w:rsidR="00966C27" w:rsidRPr="002D54EF">
        <w:rPr>
          <w:rFonts w:ascii="Times New Roman CYR" w:hAnsi="Times New Roman CYR" w:cs="Times New Roman"/>
          <w:sz w:val="24"/>
          <w:szCs w:val="24"/>
        </w:rPr>
        <w:t xml:space="preserve">Показатели финансовой устойчивости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="00966C27"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="00966C27" w:rsidRPr="002D54EF">
        <w:rPr>
          <w:rFonts w:ascii="Times New Roman CYR" w:hAnsi="Times New Roman CYR" w:cs="Times New Roman"/>
          <w:sz w:val="24"/>
          <w:szCs w:val="24"/>
        </w:rPr>
        <w:t xml:space="preserve"> за 2023 год.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64"/>
        <w:gridCol w:w="1228"/>
        <w:gridCol w:w="1691"/>
        <w:gridCol w:w="1045"/>
      </w:tblGrid>
      <w:tr w:rsidR="00966C27" w:rsidRPr="002D54EF" w14:paraId="495CCEAC" w14:textId="77777777" w:rsidTr="00153570">
        <w:tc>
          <w:tcPr>
            <w:tcW w:w="5664" w:type="dxa"/>
          </w:tcPr>
          <w:p w14:paraId="28A857E0" w14:textId="393B4D07" w:rsidR="00966C27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П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оказатель</w:t>
            </w:r>
          </w:p>
        </w:tc>
        <w:tc>
          <w:tcPr>
            <w:tcW w:w="1228" w:type="dxa"/>
          </w:tcPr>
          <w:p w14:paraId="5D3FEDB6" w14:textId="2A07E086" w:rsidR="00966C27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З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начение</w:t>
            </w:r>
          </w:p>
        </w:tc>
        <w:tc>
          <w:tcPr>
            <w:tcW w:w="1691" w:type="dxa"/>
          </w:tcPr>
          <w:p w14:paraId="788F5371" w14:textId="493F3E65" w:rsidR="00966C27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Н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ормативное значение</w:t>
            </w:r>
          </w:p>
        </w:tc>
        <w:tc>
          <w:tcPr>
            <w:tcW w:w="0" w:type="auto"/>
          </w:tcPr>
          <w:p w14:paraId="2D8102FF" w14:textId="10F64F05" w:rsidR="00966C27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О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ценка</w:t>
            </w:r>
          </w:p>
        </w:tc>
      </w:tr>
      <w:tr w:rsidR="00966C27" w:rsidRPr="002D54EF" w14:paraId="5C3FA2B6" w14:textId="77777777" w:rsidTr="00153570">
        <w:tc>
          <w:tcPr>
            <w:tcW w:w="5664" w:type="dxa"/>
          </w:tcPr>
          <w:p w14:paraId="087174C1" w14:textId="77777777" w:rsidR="00966C27" w:rsidRPr="002D54EF" w:rsidRDefault="00966C27" w:rsidP="00F965E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Коэффициент автономии</w:t>
            </w:r>
          </w:p>
        </w:tc>
        <w:tc>
          <w:tcPr>
            <w:tcW w:w="1228" w:type="dxa"/>
          </w:tcPr>
          <w:p w14:paraId="0398C28B" w14:textId="77777777" w:rsidR="00966C27" w:rsidRPr="002D54EF" w:rsidRDefault="00966C27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0,704</w:t>
            </w:r>
          </w:p>
        </w:tc>
        <w:tc>
          <w:tcPr>
            <w:tcW w:w="1691" w:type="dxa"/>
          </w:tcPr>
          <w:p w14:paraId="166C0B57" w14:textId="77777777" w:rsidR="00966C27" w:rsidRPr="002D54EF" w:rsidRDefault="00966C27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  <w:t>&gt;0,5</w:t>
            </w:r>
          </w:p>
        </w:tc>
        <w:tc>
          <w:tcPr>
            <w:tcW w:w="0" w:type="auto"/>
          </w:tcPr>
          <w:p w14:paraId="49FBCEF6" w14:textId="77777777" w:rsidR="00966C27" w:rsidRPr="002D54EF" w:rsidRDefault="00966C27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Норма</w:t>
            </w:r>
          </w:p>
        </w:tc>
      </w:tr>
      <w:tr w:rsidR="00966C27" w:rsidRPr="002D54EF" w14:paraId="098F9D39" w14:textId="77777777" w:rsidTr="00153570">
        <w:tc>
          <w:tcPr>
            <w:tcW w:w="5664" w:type="dxa"/>
          </w:tcPr>
          <w:p w14:paraId="1051F6D0" w14:textId="77777777" w:rsidR="00966C27" w:rsidRPr="002D54EF" w:rsidRDefault="00966C27" w:rsidP="00F965E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Коэффициент финансовой устойчивости</w:t>
            </w:r>
          </w:p>
        </w:tc>
        <w:tc>
          <w:tcPr>
            <w:tcW w:w="1228" w:type="dxa"/>
          </w:tcPr>
          <w:p w14:paraId="3376431C" w14:textId="77777777" w:rsidR="00966C27" w:rsidRPr="002D54EF" w:rsidRDefault="00966C27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0,877</w:t>
            </w:r>
          </w:p>
        </w:tc>
        <w:tc>
          <w:tcPr>
            <w:tcW w:w="1691" w:type="dxa"/>
          </w:tcPr>
          <w:p w14:paraId="5AF94FD4" w14:textId="77777777" w:rsidR="00966C27" w:rsidRPr="002D54EF" w:rsidRDefault="00966C27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  <w:t>&gt;0,7</w:t>
            </w: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29785CDF" w14:textId="77777777" w:rsidR="00966C27" w:rsidRPr="002D54EF" w:rsidRDefault="00966C27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Норма</w:t>
            </w:r>
          </w:p>
        </w:tc>
      </w:tr>
      <w:tr w:rsidR="00966C27" w:rsidRPr="002D54EF" w14:paraId="32C64D57" w14:textId="77777777" w:rsidTr="00153570">
        <w:tc>
          <w:tcPr>
            <w:tcW w:w="5664" w:type="dxa"/>
          </w:tcPr>
          <w:p w14:paraId="658F4EC0" w14:textId="77777777" w:rsidR="00966C27" w:rsidRPr="002D54EF" w:rsidRDefault="00966C27" w:rsidP="00F965E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Коэффициент покрытия оборотных активов собственным капиталом</w:t>
            </w:r>
          </w:p>
        </w:tc>
        <w:tc>
          <w:tcPr>
            <w:tcW w:w="1228" w:type="dxa"/>
          </w:tcPr>
          <w:p w14:paraId="45CCFAAF" w14:textId="77777777" w:rsidR="00966C27" w:rsidRPr="002D54EF" w:rsidRDefault="00966C27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0,604</w:t>
            </w:r>
          </w:p>
        </w:tc>
        <w:tc>
          <w:tcPr>
            <w:tcW w:w="1691" w:type="dxa"/>
          </w:tcPr>
          <w:p w14:paraId="63B9EABB" w14:textId="77777777" w:rsidR="00966C27" w:rsidRPr="002D54EF" w:rsidRDefault="00966C27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  <w:t>&gt;0,1</w:t>
            </w:r>
          </w:p>
        </w:tc>
        <w:tc>
          <w:tcPr>
            <w:tcW w:w="0" w:type="auto"/>
          </w:tcPr>
          <w:p w14:paraId="6E6EFBFF" w14:textId="77777777" w:rsidR="00966C27" w:rsidRPr="002D54EF" w:rsidRDefault="00966C27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Норма</w:t>
            </w:r>
          </w:p>
        </w:tc>
      </w:tr>
      <w:tr w:rsidR="00966C27" w:rsidRPr="002D54EF" w14:paraId="42E45E4B" w14:textId="77777777" w:rsidTr="00153570">
        <w:tc>
          <w:tcPr>
            <w:tcW w:w="5664" w:type="dxa"/>
          </w:tcPr>
          <w:p w14:paraId="7C91C510" w14:textId="77777777" w:rsidR="00966C27" w:rsidRPr="002D54EF" w:rsidRDefault="00966C27" w:rsidP="00F965E4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Коэффициент маневренности собственного капитала</w:t>
            </w:r>
          </w:p>
        </w:tc>
        <w:tc>
          <w:tcPr>
            <w:tcW w:w="1228" w:type="dxa"/>
          </w:tcPr>
          <w:p w14:paraId="7F41FB6F" w14:textId="77777777" w:rsidR="00966C27" w:rsidRPr="002D54EF" w:rsidRDefault="00966C27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0,640</w:t>
            </w:r>
          </w:p>
        </w:tc>
        <w:tc>
          <w:tcPr>
            <w:tcW w:w="1691" w:type="dxa"/>
          </w:tcPr>
          <w:p w14:paraId="2157BEA6" w14:textId="77777777" w:rsidR="00966C27" w:rsidRPr="002D54EF" w:rsidRDefault="00966C27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  <w:t>&gt;</w:t>
            </w: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0,2-05</w:t>
            </w:r>
          </w:p>
        </w:tc>
        <w:tc>
          <w:tcPr>
            <w:tcW w:w="0" w:type="auto"/>
          </w:tcPr>
          <w:p w14:paraId="3E399A61" w14:textId="77777777" w:rsidR="00966C27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Норма</w:t>
            </w:r>
          </w:p>
        </w:tc>
      </w:tr>
    </w:tbl>
    <w:p w14:paraId="4E024208" w14:textId="4C820CD6" w:rsidR="00966C27" w:rsidRPr="002D54EF" w:rsidRDefault="00246615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По данным </w:t>
      </w:r>
      <w:r w:rsidRPr="002D54EF">
        <w:rPr>
          <w:rFonts w:ascii="Times New Roman CYR" w:hAnsi="Times New Roman CYR" w:cs="Times New Roman"/>
          <w:i/>
          <w:sz w:val="24"/>
          <w:szCs w:val="24"/>
        </w:rPr>
        <w:t>таблицы 2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ф</w:t>
      </w:r>
      <w:r w:rsidR="00BB2FEF" w:rsidRPr="002D54EF">
        <w:rPr>
          <w:rFonts w:ascii="Times New Roman CYR" w:hAnsi="Times New Roman CYR" w:cs="Times New Roman"/>
          <w:sz w:val="24"/>
          <w:szCs w:val="24"/>
        </w:rPr>
        <w:t>инанс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овое состояние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="00BB2FEF" w:rsidRPr="002D54EF">
        <w:rPr>
          <w:rFonts w:ascii="Times New Roman CYR" w:hAnsi="Times New Roman CYR" w:cs="Times New Roman"/>
          <w:sz w:val="24"/>
          <w:szCs w:val="24"/>
        </w:rPr>
        <w:t xml:space="preserve"> характеризуется высокой степенью устойчивости, о чем свидетельствуют существенное превышение нормативных значений всех ключевых коэффициентов. Коэффициент автономии демонстрирует сильную независимость компании от заемных источников финансирования, при этом коэффициент финансовой устойчивости подтверждает стабильность структуры капитала в долгосрочной перспективе. Особенно показателен коэффициент покрытия оборотных активов собственным капиталом, значение которого свидетельствует о более чем шестикратном превышении минимального норматива, что указывает на исключительную обеспеченность текущей деятельности собственными средствами. Несколько повышенный относительно верхней границы нормы коэффициент маневренности собственного капитала может говорить, как о гибкости в управлении финансовыми ресурсами, так и о возможной избыточной мобильности капитала, что требует дополнительного анализа структуры оборотных активов. В целом представленные показатели рисуют картину финансово стабильного предприятия с консервативной политикой финансирования и значительным запасом прочности, что обеспечивает компании высокую устойчивость к потенциальным экономическим колебаниям и создает прочную основу для дальнейшего развития бизнеса.</w:t>
      </w:r>
    </w:p>
    <w:p w14:paraId="47ABFE21" w14:textId="2FA326A3" w:rsidR="00BB2FEF" w:rsidRPr="002D54EF" w:rsidRDefault="00BB2FEF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Анализ деловой активности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="00246615" w:rsidRPr="002D54EF">
        <w:rPr>
          <w:rFonts w:ascii="Times New Roman CYR" w:hAnsi="Times New Roman CYR" w:cs="Times New Roman"/>
          <w:sz w:val="24"/>
          <w:szCs w:val="24"/>
        </w:rPr>
        <w:t xml:space="preserve"> приведен в </w:t>
      </w:r>
      <w:r w:rsidR="00246615" w:rsidRPr="002D54EF">
        <w:rPr>
          <w:rFonts w:ascii="Times New Roman CYR" w:hAnsi="Times New Roman CYR" w:cs="Times New Roman"/>
          <w:i/>
          <w:sz w:val="24"/>
          <w:szCs w:val="24"/>
        </w:rPr>
        <w:t>таблице 3</w:t>
      </w:r>
      <w:r w:rsidR="00246615" w:rsidRPr="002D54EF">
        <w:rPr>
          <w:rFonts w:ascii="Times New Roman CYR" w:hAnsi="Times New Roman CYR" w:cs="Times New Roman"/>
          <w:sz w:val="24"/>
          <w:szCs w:val="24"/>
        </w:rPr>
        <w:t>.</w:t>
      </w:r>
    </w:p>
    <w:p w14:paraId="2C410DEF" w14:textId="2E33D8DB" w:rsidR="00BB2FEF" w:rsidRPr="002D54EF" w:rsidRDefault="00BB2FEF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i/>
          <w:sz w:val="24"/>
          <w:szCs w:val="24"/>
        </w:rPr>
        <w:t>Табл</w:t>
      </w:r>
      <w:r w:rsidR="00246615" w:rsidRPr="002D54EF">
        <w:rPr>
          <w:rFonts w:ascii="Times New Roman CYR" w:hAnsi="Times New Roman CYR" w:cs="Times New Roman"/>
          <w:i/>
          <w:sz w:val="24"/>
          <w:szCs w:val="24"/>
        </w:rPr>
        <w:t>ица 3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. Показатели оборачиваемости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за 2023 год.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524"/>
        <w:gridCol w:w="1226"/>
        <w:gridCol w:w="1691"/>
        <w:gridCol w:w="1187"/>
      </w:tblGrid>
      <w:tr w:rsidR="00BB2FEF" w:rsidRPr="002D54EF" w14:paraId="5C038F35" w14:textId="77777777" w:rsidTr="00153570">
        <w:tc>
          <w:tcPr>
            <w:tcW w:w="5524" w:type="dxa"/>
          </w:tcPr>
          <w:p w14:paraId="56C04A69" w14:textId="0C365538" w:rsidR="00BB2FEF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П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оказатель</w:t>
            </w:r>
          </w:p>
        </w:tc>
        <w:tc>
          <w:tcPr>
            <w:tcW w:w="1110" w:type="dxa"/>
          </w:tcPr>
          <w:p w14:paraId="29F38E04" w14:textId="31B7C151" w:rsidR="00BB2FEF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З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начение</w:t>
            </w:r>
          </w:p>
        </w:tc>
        <w:tc>
          <w:tcPr>
            <w:tcW w:w="1691" w:type="dxa"/>
          </w:tcPr>
          <w:p w14:paraId="7F9BEA31" w14:textId="5754B8B7" w:rsidR="00BB2FEF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Н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ормативное значение</w:t>
            </w:r>
          </w:p>
        </w:tc>
        <w:tc>
          <w:tcPr>
            <w:tcW w:w="0" w:type="auto"/>
          </w:tcPr>
          <w:p w14:paraId="1B746997" w14:textId="2D831574" w:rsidR="00BB2FEF" w:rsidRPr="002D54EF" w:rsidRDefault="00FD7B5A" w:rsidP="00153570">
            <w:pPr>
              <w:suppressAutoHyphens/>
              <w:jc w:val="center"/>
              <w:rPr>
                <w:rFonts w:ascii="Times New Roman CYR" w:hAnsi="Times New Roman CYR" w:cs="Times New Roman"/>
                <w:b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О</w:t>
            </w:r>
            <w:r w:rsidR="00F965E4" w:rsidRPr="002D54EF">
              <w:rPr>
                <w:rFonts w:ascii="Times New Roman CYR" w:hAnsi="Times New Roman CYR" w:cs="Times New Roman"/>
                <w:b/>
                <w:sz w:val="24"/>
                <w:szCs w:val="24"/>
              </w:rPr>
              <w:t>ценка</w:t>
            </w:r>
          </w:p>
        </w:tc>
      </w:tr>
      <w:tr w:rsidR="00BB2FEF" w:rsidRPr="002D54EF" w14:paraId="3B180561" w14:textId="77777777" w:rsidTr="00153570">
        <w:tc>
          <w:tcPr>
            <w:tcW w:w="5524" w:type="dxa"/>
          </w:tcPr>
          <w:p w14:paraId="0F99DDCA" w14:textId="77777777" w:rsidR="00BB2FEF" w:rsidRPr="002D54EF" w:rsidRDefault="00BB2FEF" w:rsidP="00FD7B5A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proofErr w:type="spellStart"/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Ресурсоотдача</w:t>
            </w:r>
            <w:proofErr w:type="spellEnd"/>
          </w:p>
        </w:tc>
        <w:tc>
          <w:tcPr>
            <w:tcW w:w="1110" w:type="dxa"/>
          </w:tcPr>
          <w:p w14:paraId="1CDE59B0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2,251</w:t>
            </w:r>
          </w:p>
        </w:tc>
        <w:tc>
          <w:tcPr>
            <w:tcW w:w="1691" w:type="dxa"/>
          </w:tcPr>
          <w:p w14:paraId="19237D79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  <w:t>&gt;1</w:t>
            </w:r>
          </w:p>
        </w:tc>
        <w:tc>
          <w:tcPr>
            <w:tcW w:w="0" w:type="auto"/>
          </w:tcPr>
          <w:p w14:paraId="019137D8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Хорошая</w:t>
            </w:r>
          </w:p>
        </w:tc>
      </w:tr>
      <w:tr w:rsidR="00BB2FEF" w:rsidRPr="002D54EF" w14:paraId="62E13297" w14:textId="77777777" w:rsidTr="00153570">
        <w:tc>
          <w:tcPr>
            <w:tcW w:w="5524" w:type="dxa"/>
          </w:tcPr>
          <w:p w14:paraId="23931EA7" w14:textId="77777777" w:rsidR="00BB2FEF" w:rsidRPr="002D54EF" w:rsidRDefault="00BB2FEF" w:rsidP="00FD7B5A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Коэффициент оборачиваемости оборотных средств</w:t>
            </w:r>
          </w:p>
        </w:tc>
        <w:tc>
          <w:tcPr>
            <w:tcW w:w="1110" w:type="dxa"/>
          </w:tcPr>
          <w:p w14:paraId="5E0BA563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3,012</w:t>
            </w:r>
          </w:p>
        </w:tc>
        <w:tc>
          <w:tcPr>
            <w:tcW w:w="1691" w:type="dxa"/>
          </w:tcPr>
          <w:p w14:paraId="7FD4B40F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  <w:t>&gt;2</w:t>
            </w:r>
          </w:p>
        </w:tc>
        <w:tc>
          <w:tcPr>
            <w:tcW w:w="0" w:type="auto"/>
          </w:tcPr>
          <w:p w14:paraId="1E0C8F46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Хорошая</w:t>
            </w:r>
          </w:p>
        </w:tc>
      </w:tr>
      <w:tr w:rsidR="00BB2FEF" w:rsidRPr="002D54EF" w14:paraId="6A6D1635" w14:textId="77777777" w:rsidTr="00153570">
        <w:tc>
          <w:tcPr>
            <w:tcW w:w="5524" w:type="dxa"/>
          </w:tcPr>
          <w:p w14:paraId="745EB39A" w14:textId="77777777" w:rsidR="00BB2FEF" w:rsidRPr="002D54EF" w:rsidRDefault="00BB2FEF" w:rsidP="00FD7B5A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Фондоотдача</w:t>
            </w:r>
          </w:p>
        </w:tc>
        <w:tc>
          <w:tcPr>
            <w:tcW w:w="1110" w:type="dxa"/>
          </w:tcPr>
          <w:p w14:paraId="701D1899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8,90</w:t>
            </w:r>
          </w:p>
        </w:tc>
        <w:tc>
          <w:tcPr>
            <w:tcW w:w="1691" w:type="dxa"/>
          </w:tcPr>
          <w:p w14:paraId="274596F3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  <w:t>&gt;1</w:t>
            </w:r>
          </w:p>
        </w:tc>
        <w:tc>
          <w:tcPr>
            <w:tcW w:w="0" w:type="auto"/>
          </w:tcPr>
          <w:p w14:paraId="33BCBB60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Высокая</w:t>
            </w:r>
          </w:p>
        </w:tc>
      </w:tr>
      <w:tr w:rsidR="00BB2FEF" w:rsidRPr="002D54EF" w14:paraId="6FD1A30E" w14:textId="77777777" w:rsidTr="00153570">
        <w:tc>
          <w:tcPr>
            <w:tcW w:w="5524" w:type="dxa"/>
          </w:tcPr>
          <w:p w14:paraId="75F9E244" w14:textId="77777777" w:rsidR="00BB2FEF" w:rsidRPr="002D54EF" w:rsidRDefault="00BB2FEF" w:rsidP="00FD7B5A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Оборачиваемость материальных запасов</w:t>
            </w:r>
          </w:p>
        </w:tc>
        <w:tc>
          <w:tcPr>
            <w:tcW w:w="1110" w:type="dxa"/>
          </w:tcPr>
          <w:p w14:paraId="0E6A43F1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0,3</w:t>
            </w:r>
          </w:p>
        </w:tc>
        <w:tc>
          <w:tcPr>
            <w:tcW w:w="1691" w:type="dxa"/>
          </w:tcPr>
          <w:p w14:paraId="1DBD2422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  <w:t>&gt;1</w:t>
            </w:r>
          </w:p>
        </w:tc>
        <w:tc>
          <w:tcPr>
            <w:tcW w:w="0" w:type="auto"/>
          </w:tcPr>
          <w:p w14:paraId="7C1FECF0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Низкая</w:t>
            </w:r>
          </w:p>
        </w:tc>
      </w:tr>
      <w:tr w:rsidR="00BB2FEF" w:rsidRPr="002D54EF" w14:paraId="170CA68E" w14:textId="77777777" w:rsidTr="00153570">
        <w:tc>
          <w:tcPr>
            <w:tcW w:w="5524" w:type="dxa"/>
          </w:tcPr>
          <w:p w14:paraId="58693144" w14:textId="77777777" w:rsidR="00BB2FEF" w:rsidRPr="002D54EF" w:rsidRDefault="00BB2FEF" w:rsidP="00FD7B5A">
            <w:pPr>
              <w:jc w:val="both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Оборачиваемость денежных средств (дни)</w:t>
            </w:r>
          </w:p>
        </w:tc>
        <w:tc>
          <w:tcPr>
            <w:tcW w:w="1110" w:type="dxa"/>
          </w:tcPr>
          <w:p w14:paraId="5693EE2B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36</w:t>
            </w:r>
          </w:p>
        </w:tc>
        <w:tc>
          <w:tcPr>
            <w:tcW w:w="1691" w:type="dxa"/>
          </w:tcPr>
          <w:p w14:paraId="0424DA1E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  <w:lang w:val="en-US"/>
              </w:rPr>
              <w:t>&lt;30</w:t>
            </w:r>
          </w:p>
        </w:tc>
        <w:tc>
          <w:tcPr>
            <w:tcW w:w="0" w:type="auto"/>
          </w:tcPr>
          <w:p w14:paraId="14D052FE" w14:textId="77777777" w:rsidR="00BB2FEF" w:rsidRPr="002D54EF" w:rsidRDefault="00BB2FEF" w:rsidP="00153570">
            <w:pPr>
              <w:jc w:val="center"/>
              <w:rPr>
                <w:rFonts w:ascii="Times New Roman CYR" w:hAnsi="Times New Roman CYR" w:cs="Times New Roman"/>
                <w:sz w:val="24"/>
                <w:szCs w:val="24"/>
              </w:rPr>
            </w:pPr>
            <w:r w:rsidRPr="002D54EF">
              <w:rPr>
                <w:rFonts w:ascii="Times New Roman CYR" w:hAnsi="Times New Roman CYR" w:cs="Times New Roman"/>
                <w:sz w:val="24"/>
                <w:szCs w:val="24"/>
              </w:rPr>
              <w:t>Замедленная</w:t>
            </w:r>
          </w:p>
        </w:tc>
      </w:tr>
    </w:tbl>
    <w:p w14:paraId="4AA1826F" w14:textId="3CACB4C2" w:rsidR="00BB2FEF" w:rsidRPr="002D54EF" w:rsidRDefault="00246615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lastRenderedPageBreak/>
        <w:t xml:space="preserve">По данным </w:t>
      </w:r>
      <w:r w:rsidRPr="002D54EF">
        <w:rPr>
          <w:rFonts w:ascii="Times New Roman CYR" w:hAnsi="Times New Roman CYR" w:cs="Times New Roman"/>
          <w:i/>
          <w:sz w:val="24"/>
          <w:szCs w:val="24"/>
        </w:rPr>
        <w:t>таблицы 3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а</w:t>
      </w:r>
      <w:r w:rsidR="00BB2FEF" w:rsidRPr="002D54EF">
        <w:rPr>
          <w:rFonts w:ascii="Times New Roman CYR" w:hAnsi="Times New Roman CYR" w:cs="Times New Roman"/>
          <w:sz w:val="24"/>
          <w:szCs w:val="24"/>
        </w:rPr>
        <w:t xml:space="preserve">нализ показателей деловой активности компании демонстрирует неоднозначную картину. С одной стороны, </w:t>
      </w:r>
      <w:proofErr w:type="spellStart"/>
      <w:r w:rsidR="00BB2FEF" w:rsidRPr="002D54EF">
        <w:rPr>
          <w:rFonts w:ascii="Times New Roman CYR" w:hAnsi="Times New Roman CYR" w:cs="Times New Roman"/>
          <w:sz w:val="24"/>
          <w:szCs w:val="24"/>
        </w:rPr>
        <w:t>ресурсоотдача</w:t>
      </w:r>
      <w:proofErr w:type="spellEnd"/>
      <w:r w:rsidR="00BB2FEF" w:rsidRPr="002D54EF">
        <w:rPr>
          <w:rFonts w:ascii="Times New Roman CYR" w:hAnsi="Times New Roman CYR" w:cs="Times New Roman"/>
          <w:sz w:val="24"/>
          <w:szCs w:val="24"/>
        </w:rPr>
        <w:t>, коэффициент оборачиваемости оборотных средств и фондоотдача существенно превышают нормативные значения, что свидетельствует о высокой эффективности использования основных фондов и оборотного капитала. Это говорит о том, что компания успешно генерирует выручку за счет имеющихся активов, а основные производственные фонды используются интенсивно.</w:t>
      </w:r>
    </w:p>
    <w:p w14:paraId="3115B378" w14:textId="77777777" w:rsidR="00BB2FEF" w:rsidRPr="002D54EF" w:rsidRDefault="00BB2FEF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Однако вызывает серьезную озабоченность показатель оборачиваемости материальных запасов, который значительно ниже нормы. Это указывает на затоваривание, неэффективное управление запасами и возможное замораживание средств в избыточных складских остатках. Кроме того, оборачиваемость денежных средств</w:t>
      </w:r>
      <w:r w:rsidR="00D94754" w:rsidRPr="002D54EF">
        <w:rPr>
          <w:rFonts w:ascii="Times New Roman CYR" w:hAnsi="Times New Roman CYR" w:cs="Times New Roman"/>
          <w:sz w:val="24"/>
          <w:szCs w:val="24"/>
        </w:rPr>
        <w:t xml:space="preserve"> превышает норматив</w:t>
      </w:r>
      <w:r w:rsidRPr="002D54EF">
        <w:rPr>
          <w:rFonts w:ascii="Times New Roman CYR" w:hAnsi="Times New Roman CYR" w:cs="Times New Roman"/>
          <w:sz w:val="24"/>
          <w:szCs w:val="24"/>
        </w:rPr>
        <w:t>, что может свидетельствовать о задержках в расчетах с контрагентами или неоптимальной системе управления ликвидностью.</w:t>
      </w:r>
    </w:p>
    <w:p w14:paraId="2892BF96" w14:textId="77777777" w:rsidR="00BB2FEF" w:rsidRPr="002D54EF" w:rsidRDefault="00BB2FEF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Таким образом, несмотря на общую эффективность использования основных ресурсов, компании необходимо срочно пересмотреть политику управления запасами и оптимизировать денежные потоки. Улучшение этих показателей позволит высвободить дополнительные оборотные средства и повысить общую финансовую устойчивость бизнеса.</w:t>
      </w:r>
    </w:p>
    <w:p w14:paraId="20CCB1CA" w14:textId="63774864" w:rsidR="00D94754" w:rsidRPr="002D54EF" w:rsidRDefault="00D94754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Анализ текущего финансового состояния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выявляет ряд существенных угроз экономической безопасности предприятия, требующих незамедлительного реагирования. Наиболее критичной является угроза убыточности, обусловленная крайне низким уровнем рентабельности (0,7%), который не обеспечивает необходимых финансовых ресурсов для устойчивого развития компании. Ситуацию усугубляет высокая зависимость от поставщиков - материальные затраты составляют 73% от общей себестоимости, что создает значительные риски при колебаниях цен на сырье и материалы. Дополнительную опасность представляет риск потери ликвидности, вызванный недостатком собственных оборотных средств, а также неэффективное управление запасами, о чем свидетельствует низкая оборачиваемость материальных ресурсов (0,3 при норме &gt;1).</w:t>
      </w:r>
    </w:p>
    <w:p w14:paraId="67CD531E" w14:textId="0278CC2F" w:rsidR="00D94754" w:rsidRPr="002D54EF" w:rsidRDefault="00D94754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Для противодействия этим угрозам требуется реализация комплексной программы по укреплению финансовой безопасности, включающей несколько взаимосвязанных направлений. В части оптимизации затрат необходимо провести детальный анализ цепочки поставок и начать переговоры с существующими поставщиками о пересмотре ценовых условий, параллельно прорабатывая альтернативные каналы закупок. Особое внимание следует уделить внедрению принципов бережливого производства, позволяющих сократить потери и повысить операционную эффективность. Перспективным направлением является аутсорсинг непрофильных функций, таких как IT-обслуживание или кадровый учет, что позволит сконцентрировать ресурсы на основных бизнес-процессах. Значительный эффект может дать автоматизация учетных процессов через внедрение современных ERP-систем</w:t>
      </w:r>
      <w:r w:rsidR="006208AF" w:rsidRPr="002D54EF">
        <w:rPr>
          <w:rFonts w:ascii="Times New Roman CYR" w:hAnsi="Times New Roman CYR"/>
          <w:sz w:val="24"/>
          <w:szCs w:val="24"/>
        </w:rPr>
        <w:t xml:space="preserve"> </w:t>
      </w:r>
      <w:r w:rsidR="006208AF" w:rsidRPr="002D54EF">
        <w:rPr>
          <w:rFonts w:ascii="Times New Roman CYR" w:hAnsi="Times New Roman CYR" w:cs="Times New Roman"/>
          <w:sz w:val="24"/>
          <w:szCs w:val="24"/>
        </w:rPr>
        <w:t>[13]</w:t>
      </w:r>
      <w:r w:rsidRPr="002D54EF">
        <w:rPr>
          <w:rFonts w:ascii="Times New Roman CYR" w:hAnsi="Times New Roman CYR" w:cs="Times New Roman"/>
          <w:sz w:val="24"/>
          <w:szCs w:val="24"/>
        </w:rPr>
        <w:t>, что сократит административные издержки и повысит точность управленческого учета.</w:t>
      </w:r>
    </w:p>
    <w:p w14:paraId="4AFAA3B4" w14:textId="4EF2B9C7" w:rsidR="00D94754" w:rsidRPr="002D54EF" w:rsidRDefault="00D94754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Для повышения доходности бизнеса необходимо диверсифицировать сервисное предложение, разработав линейку премиальных услуг</w:t>
      </w:r>
      <w:r w:rsidR="006208AF" w:rsidRPr="002D54EF">
        <w:rPr>
          <w:rFonts w:ascii="Times New Roman CYR" w:hAnsi="Times New Roman CYR"/>
          <w:sz w:val="24"/>
          <w:szCs w:val="24"/>
        </w:rPr>
        <w:t xml:space="preserve"> </w:t>
      </w:r>
      <w:r w:rsidR="006208AF" w:rsidRPr="002D54EF">
        <w:rPr>
          <w:rFonts w:ascii="Times New Roman CYR" w:hAnsi="Times New Roman CYR" w:cs="Times New Roman"/>
          <w:sz w:val="24"/>
          <w:szCs w:val="24"/>
        </w:rPr>
        <w:t>[2, с. 64]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с повышенной маржинальностью, таких как экологичная уборка с использованием </w:t>
      </w:r>
      <w:proofErr w:type="spellStart"/>
      <w:r w:rsidRPr="002D54EF">
        <w:rPr>
          <w:rFonts w:ascii="Times New Roman CYR" w:hAnsi="Times New Roman CYR" w:cs="Times New Roman"/>
          <w:sz w:val="24"/>
          <w:szCs w:val="24"/>
        </w:rPr>
        <w:t>биоразлагаемых</w:t>
      </w:r>
      <w:proofErr w:type="spellEnd"/>
      <w:r w:rsidRPr="002D54EF">
        <w:rPr>
          <w:rFonts w:ascii="Times New Roman CYR" w:hAnsi="Times New Roman CYR" w:cs="Times New Roman"/>
          <w:sz w:val="24"/>
          <w:szCs w:val="24"/>
        </w:rPr>
        <w:t xml:space="preserve"> средств или ком</w:t>
      </w:r>
      <w:r w:rsidR="00246615" w:rsidRPr="002D54EF">
        <w:rPr>
          <w:rFonts w:ascii="Times New Roman CYR" w:hAnsi="Times New Roman CYR" w:cs="Times New Roman"/>
          <w:sz w:val="24"/>
          <w:szCs w:val="24"/>
        </w:rPr>
        <w:t xml:space="preserve">плексное обслуживание объектов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="00246615" w:rsidRPr="002D54EF">
        <w:rPr>
          <w:rFonts w:ascii="Times New Roman CYR" w:hAnsi="Times New Roman CYR" w:cs="Times New Roman"/>
          <w:sz w:val="24"/>
          <w:szCs w:val="24"/>
        </w:rPr>
        <w:t>под ключ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>. Внедрение системы динамического ценообразования позволит гибко реагировать на изменения рыночной конъюнктуры и максимизировать прибыль в пиковые периоды спроса. Параллельно следует активизировать работу по расширению клиентской базы через участие в тендерах и разработку программ лояльности для постоянных заказчиков. Перспективным направлением роста является развитие дополнительных сезонных сервисов, таких как обработка территорий от клещей или противогололедные мероприятия, которые могут обеспечить стабильный доход в межсезонье.</w:t>
      </w:r>
    </w:p>
    <w:p w14:paraId="0C670942" w14:textId="77777777" w:rsidR="00D94754" w:rsidRPr="002D54EF" w:rsidRDefault="00D94754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Ключевое значение имеет совершенствование управления оборотными средствами. Внедрение современной системы управления запасами по методу ABC-XYZ позволит оптимизировать складские остатки и высвободить значительные финансовые ресурсы. Требуется пересмотр кредитной политики с установлением четких лимитов для контрагентов и внедре</w:t>
      </w:r>
      <w:r w:rsidRPr="002D54EF">
        <w:rPr>
          <w:rFonts w:ascii="Times New Roman CYR" w:hAnsi="Times New Roman CYR" w:cs="Times New Roman"/>
          <w:sz w:val="24"/>
          <w:szCs w:val="24"/>
        </w:rPr>
        <w:lastRenderedPageBreak/>
        <w:t>нием системы скоринга для оценки их надежности. Для ускорения оборачиваемости дебиторской задолженности необходимо разработать систему мотивации клиентов к досрочной оплате через систему скидок, а также рассмотреть возможность использования факторинга для проблемных дебиторов.</w:t>
      </w:r>
    </w:p>
    <w:p w14:paraId="67DAECC9" w14:textId="77777777" w:rsidR="00D94754" w:rsidRPr="002D54EF" w:rsidRDefault="00D94754" w:rsidP="0046161C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Особое внимание следует уделить совершенствованию системы финансового менеджмента. Разработка комплексной системы бюджетирования с ежемесячным контролем исполнения позволит оперативно выявлять отклонения и принимать корректирующие меры. Внедрение среднесрочного финансового планирования на 2-3 года вперед создаст основу для стратегического развития компании. Необходимо организовать регулярный мониторинг ключевых показателей эффективности (KPI) с еженедельным анализом динамики по основным финансовым параметрам. В качестве страхового механизма рекомендуется создать резервные фонды, которые обеспечат финансовую устойчивость компании в периоды экономической нестабильности или сезонных спадов спроса.</w:t>
      </w:r>
    </w:p>
    <w:p w14:paraId="7C7BF78E" w14:textId="4EB8AFA4" w:rsidR="00FD7B5A" w:rsidRPr="002D54EF" w:rsidRDefault="00D94754" w:rsidP="00FD7B5A">
      <w:pPr>
        <w:spacing w:after="0" w:line="240" w:lineRule="auto"/>
        <w:ind w:firstLine="70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Реализация этих мер в комплексе позволит существенно повысить уровень экономической безопасности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>, создать надежную защиту от потенциальных угроз и заложить прочный фундамент для устойчивого развития бизнеса в долгосрочной перспективе. Особое значение имеет системный подход и последовательность в реализации намеченных мероприятий, а также постоянный мониторинг их эффективности с возможностью оперативной корректировки в зависимости от изменений внешней и внутренней среды компании.</w:t>
      </w:r>
    </w:p>
    <w:p w14:paraId="29247E7F" w14:textId="4285B263" w:rsidR="00FD7B5A" w:rsidRPr="002D54EF" w:rsidRDefault="00FD7B5A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__________________________________________________________________________</w:t>
      </w:r>
      <w:r w:rsidR="003F4664" w:rsidRPr="002D54EF">
        <w:rPr>
          <w:rFonts w:ascii="Times New Roman CYR" w:hAnsi="Times New Roman CYR" w:cs="Times New Roman"/>
          <w:sz w:val="24"/>
          <w:szCs w:val="24"/>
        </w:rPr>
        <w:t>_</w:t>
      </w:r>
    </w:p>
    <w:p w14:paraId="5178ECC8" w14:textId="0DD731DA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1. Иванов А.А. Экономическая безопасность предприятий. - М</w:t>
      </w:r>
      <w:r w:rsidR="00153570">
        <w:rPr>
          <w:rFonts w:ascii="Times New Roman CYR" w:hAnsi="Times New Roman CYR" w:cs="Times New Roman"/>
          <w:sz w:val="24"/>
          <w:szCs w:val="24"/>
        </w:rPr>
        <w:t>осква</w:t>
      </w:r>
      <w:r w:rsidRPr="002D54EF">
        <w:rPr>
          <w:rFonts w:ascii="Times New Roman CYR" w:hAnsi="Times New Roman CYR" w:cs="Times New Roman"/>
          <w:sz w:val="24"/>
          <w:szCs w:val="24"/>
        </w:rPr>
        <w:t>: Финансы, 2022. - 215 с.</w:t>
      </w:r>
    </w:p>
    <w:p w14:paraId="2951D56E" w14:textId="43801D01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2. Петрова С.М. Управление рентабельностью в сфере услуг // Экономический анализ. - 2023. - №5. - С. 60-68.</w:t>
      </w:r>
    </w:p>
    <w:p w14:paraId="10A02573" w14:textId="4FD7E59A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3. Савицкая Г.В. Анализ хозяйственной деятельности. - М</w:t>
      </w:r>
      <w:r w:rsidR="00153570">
        <w:rPr>
          <w:rFonts w:ascii="Times New Roman CYR" w:hAnsi="Times New Roman CYR" w:cs="Times New Roman"/>
          <w:sz w:val="24"/>
          <w:szCs w:val="24"/>
        </w:rPr>
        <w:t>осква</w:t>
      </w:r>
      <w:r w:rsidRPr="002D54EF">
        <w:rPr>
          <w:rFonts w:ascii="Times New Roman CYR" w:hAnsi="Times New Roman CYR" w:cs="Times New Roman"/>
          <w:sz w:val="24"/>
          <w:szCs w:val="24"/>
        </w:rPr>
        <w:t>: Инфра-М, 2023. - 536 с.</w:t>
      </w:r>
    </w:p>
    <w:p w14:paraId="49F4757E" w14:textId="1773AE73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4. Шеремет А.Д. Методика финансового анализа. - М</w:t>
      </w:r>
      <w:r w:rsidR="00153570">
        <w:rPr>
          <w:rFonts w:ascii="Times New Roman CYR" w:hAnsi="Times New Roman CYR" w:cs="Times New Roman"/>
          <w:sz w:val="24"/>
          <w:szCs w:val="24"/>
        </w:rPr>
        <w:t>осква</w:t>
      </w:r>
      <w:r w:rsidRPr="002D54EF">
        <w:rPr>
          <w:rFonts w:ascii="Times New Roman CYR" w:hAnsi="Times New Roman CYR" w:cs="Times New Roman"/>
          <w:sz w:val="24"/>
          <w:szCs w:val="24"/>
        </w:rPr>
        <w:t>: Инфра-М, 2023. - 456 с.</w:t>
      </w:r>
    </w:p>
    <w:p w14:paraId="02989AE2" w14:textId="4D1FB406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5. Годовой отчет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за 2023 год. - 56 с.</w:t>
      </w:r>
    </w:p>
    <w:p w14:paraId="7D13E213" w14:textId="3C0A0669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6. Сидоров В.П. Оптимизация затрат предприятия. - СПб.: Питер, 2022. - 320 с.</w:t>
      </w:r>
    </w:p>
    <w:p w14:paraId="4BF7B3B0" w14:textId="59690E79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>7. Ковалев В.В. Финансовый анализ. - М</w:t>
      </w:r>
      <w:r w:rsidR="00153570">
        <w:rPr>
          <w:rFonts w:ascii="Times New Roman CYR" w:hAnsi="Times New Roman CYR" w:cs="Times New Roman"/>
          <w:sz w:val="24"/>
          <w:szCs w:val="24"/>
        </w:rPr>
        <w:t>осква</w:t>
      </w:r>
      <w:r w:rsidRPr="002D54EF">
        <w:rPr>
          <w:rFonts w:ascii="Times New Roman CYR" w:hAnsi="Times New Roman CYR" w:cs="Times New Roman"/>
          <w:sz w:val="24"/>
          <w:szCs w:val="24"/>
        </w:rPr>
        <w:t>: Проспект, 2023. - 480 с.</w:t>
      </w:r>
    </w:p>
    <w:p w14:paraId="5E20D157" w14:textId="258B3C33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8. Учетная политика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на 2023 год. - 34 с.</w:t>
      </w:r>
    </w:p>
    <w:p w14:paraId="5F4AD46D" w14:textId="433E4442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  <w:lang w:val="en-US"/>
        </w:rPr>
      </w:pPr>
      <w:r w:rsidRPr="002D54EF">
        <w:rPr>
          <w:rFonts w:ascii="Times New Roman CYR" w:hAnsi="Times New Roman CYR" w:cs="Times New Roman"/>
          <w:sz w:val="24"/>
          <w:szCs w:val="24"/>
          <w:lang w:val="en-US"/>
        </w:rPr>
        <w:t>9. Smith J. Inventory Management Methods. - N.Y.: Springer, 2022. - 210 p.</w:t>
      </w:r>
    </w:p>
    <w:p w14:paraId="071B542C" w14:textId="46CD65C1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  <w:lang w:val="en-US"/>
        </w:rPr>
      </w:pPr>
      <w:r w:rsidRPr="002D54EF">
        <w:rPr>
          <w:rFonts w:ascii="Times New Roman CYR" w:hAnsi="Times New Roman CYR" w:cs="Times New Roman"/>
          <w:sz w:val="24"/>
          <w:szCs w:val="24"/>
          <w:lang w:val="en-US"/>
        </w:rPr>
        <w:t>10. Brown M. Financial Risk Management. - London: Routledge, 2023. - 315 p.</w:t>
      </w:r>
    </w:p>
    <w:p w14:paraId="3BE9B178" w14:textId="1251B2DB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11. Официальный сайт ООО </w:t>
      </w:r>
      <w:r w:rsidR="00153570">
        <w:rPr>
          <w:rFonts w:ascii="Times New Roman CYR" w:hAnsi="Times New Roman CYR" w:cs="Times New Roman"/>
          <w:sz w:val="24"/>
          <w:szCs w:val="24"/>
        </w:rPr>
        <w:t>«</w:t>
      </w:r>
      <w:r w:rsidRPr="002D54EF">
        <w:rPr>
          <w:rFonts w:ascii="Times New Roman CYR" w:hAnsi="Times New Roman CYR" w:cs="Times New Roman"/>
          <w:sz w:val="24"/>
          <w:szCs w:val="24"/>
        </w:rPr>
        <w:t>Чистый двор</w:t>
      </w:r>
      <w:r w:rsidR="00153570">
        <w:rPr>
          <w:rFonts w:ascii="Times New Roman CYR" w:hAnsi="Times New Roman CYR" w:cs="Times New Roman"/>
          <w:sz w:val="24"/>
          <w:szCs w:val="24"/>
        </w:rPr>
        <w:t>»</w:t>
      </w:r>
      <w:r w:rsidRPr="002D54EF">
        <w:rPr>
          <w:rFonts w:ascii="Times New Roman CYR" w:hAnsi="Times New Roman CYR" w:cs="Times New Roman"/>
          <w:sz w:val="24"/>
          <w:szCs w:val="24"/>
        </w:rPr>
        <w:t xml:space="preserve"> [Электронный ресурс]. - Режим доступа: </w:t>
      </w:r>
      <w:r w:rsidR="00153570" w:rsidRPr="00153570">
        <w:rPr>
          <w:rFonts w:ascii="Times New Roman CYR" w:hAnsi="Times New Roman CYR" w:cs="Times New Roman"/>
          <w:sz w:val="24"/>
          <w:szCs w:val="24"/>
        </w:rPr>
        <w:t>http://www.clean-yard.ru</w:t>
      </w:r>
      <w:r w:rsidR="00153570">
        <w:rPr>
          <w:rFonts w:ascii="Times New Roman CYR" w:hAnsi="Times New Roman CYR" w:cs="Times New Roman"/>
          <w:sz w:val="24"/>
          <w:szCs w:val="24"/>
        </w:rPr>
        <w:t xml:space="preserve"> (дата обращения 20.03.2025 г.)</w:t>
      </w:r>
    </w:p>
    <w:p w14:paraId="13D96ADC" w14:textId="2BE61E75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12. Система СПАРК [Электронный ресурс]. - Режим доступа: </w:t>
      </w:r>
      <w:r w:rsidR="00153570" w:rsidRPr="00153570">
        <w:rPr>
          <w:rFonts w:ascii="Times New Roman CYR" w:hAnsi="Times New Roman CYR" w:cs="Times New Roman"/>
          <w:sz w:val="24"/>
          <w:szCs w:val="24"/>
        </w:rPr>
        <w:t>https://spark-interfax.ru</w:t>
      </w:r>
      <w:r w:rsidR="00153570">
        <w:rPr>
          <w:rFonts w:ascii="Times New Roman CYR" w:hAnsi="Times New Roman CYR" w:cs="Times New Roman"/>
          <w:sz w:val="24"/>
          <w:szCs w:val="24"/>
        </w:rPr>
        <w:t xml:space="preserve"> (дата обращения 18.03.2025 г.)</w:t>
      </w:r>
    </w:p>
    <w:p w14:paraId="4AFEB372" w14:textId="07F59673" w:rsidR="006208AF" w:rsidRPr="002D54EF" w:rsidRDefault="006208AF" w:rsidP="003F4664">
      <w:pPr>
        <w:spacing w:after="0" w:line="240" w:lineRule="auto"/>
        <w:ind w:firstLine="539"/>
        <w:jc w:val="both"/>
        <w:rPr>
          <w:rFonts w:ascii="Times New Roman CYR" w:hAnsi="Times New Roman CYR" w:cs="Times New Roman"/>
          <w:sz w:val="24"/>
          <w:szCs w:val="24"/>
        </w:rPr>
      </w:pPr>
      <w:r w:rsidRPr="002D54EF">
        <w:rPr>
          <w:rFonts w:ascii="Times New Roman CYR" w:hAnsi="Times New Roman CYR" w:cs="Times New Roman"/>
          <w:sz w:val="24"/>
          <w:szCs w:val="24"/>
        </w:rPr>
        <w:t xml:space="preserve">13. ERP-системы для малого бизнеса [Электронный ресурс]. - Режим доступа: </w:t>
      </w:r>
      <w:r w:rsidR="00153570" w:rsidRPr="00153570">
        <w:rPr>
          <w:rFonts w:ascii="Times New Roman CYR" w:hAnsi="Times New Roman CYR" w:cs="Times New Roman"/>
          <w:sz w:val="24"/>
          <w:szCs w:val="24"/>
        </w:rPr>
        <w:t>https://erp-systems.ru</w:t>
      </w:r>
      <w:r w:rsidR="00153570">
        <w:rPr>
          <w:rFonts w:ascii="Times New Roman CYR" w:hAnsi="Times New Roman CYR" w:cs="Times New Roman"/>
          <w:sz w:val="24"/>
          <w:szCs w:val="24"/>
        </w:rPr>
        <w:t xml:space="preserve"> (дата обращения 15.03.2025 г.)</w:t>
      </w:r>
    </w:p>
    <w:sectPr w:rsidR="006208AF" w:rsidRPr="002D54EF" w:rsidSect="0046161C">
      <w:pgSz w:w="11906" w:h="16838" w:code="9"/>
      <w:pgMar w:top="1134" w:right="1134" w:bottom="1134" w:left="1134" w:header="737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7742F4"/>
    <w:multiLevelType w:val="hybridMultilevel"/>
    <w:tmpl w:val="E4A88BD4"/>
    <w:lvl w:ilvl="0" w:tplc="1004EBD4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49022E"/>
    <w:multiLevelType w:val="hybridMultilevel"/>
    <w:tmpl w:val="7F00B17A"/>
    <w:lvl w:ilvl="0" w:tplc="5FAA8D92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CA0"/>
    <w:rsid w:val="00027262"/>
    <w:rsid w:val="0009086C"/>
    <w:rsid w:val="000966E7"/>
    <w:rsid w:val="000B6E52"/>
    <w:rsid w:val="0012557E"/>
    <w:rsid w:val="00153570"/>
    <w:rsid w:val="001602B3"/>
    <w:rsid w:val="001B1781"/>
    <w:rsid w:val="001C1539"/>
    <w:rsid w:val="001E18DD"/>
    <w:rsid w:val="00246615"/>
    <w:rsid w:val="002D54EF"/>
    <w:rsid w:val="002E50F2"/>
    <w:rsid w:val="002F3E1D"/>
    <w:rsid w:val="00310D8B"/>
    <w:rsid w:val="00353631"/>
    <w:rsid w:val="003B156E"/>
    <w:rsid w:val="003C0AB8"/>
    <w:rsid w:val="003F4664"/>
    <w:rsid w:val="0040739C"/>
    <w:rsid w:val="0046161C"/>
    <w:rsid w:val="00573760"/>
    <w:rsid w:val="006208AF"/>
    <w:rsid w:val="006556F3"/>
    <w:rsid w:val="006E1B95"/>
    <w:rsid w:val="00741A4C"/>
    <w:rsid w:val="007A4A71"/>
    <w:rsid w:val="008675CF"/>
    <w:rsid w:val="008E6CA0"/>
    <w:rsid w:val="00913B64"/>
    <w:rsid w:val="00966C27"/>
    <w:rsid w:val="009B0266"/>
    <w:rsid w:val="009D0BEF"/>
    <w:rsid w:val="00A452B9"/>
    <w:rsid w:val="00BB2FEF"/>
    <w:rsid w:val="00BC5168"/>
    <w:rsid w:val="00C83770"/>
    <w:rsid w:val="00D4560D"/>
    <w:rsid w:val="00D94754"/>
    <w:rsid w:val="00DA16CC"/>
    <w:rsid w:val="00DA2A6F"/>
    <w:rsid w:val="00E46554"/>
    <w:rsid w:val="00E47BBA"/>
    <w:rsid w:val="00EF7023"/>
    <w:rsid w:val="00F9348E"/>
    <w:rsid w:val="00F965E4"/>
    <w:rsid w:val="00FD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D0CBE"/>
  <w15:chartTrackingRefBased/>
  <w15:docId w15:val="{79882A8A-944F-43F8-8DEA-A7E5EDCB4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3B64"/>
    <w:pPr>
      <w:ind w:left="720"/>
      <w:contextualSpacing/>
    </w:pPr>
  </w:style>
  <w:style w:type="table" w:styleId="a4">
    <w:name w:val="Table Grid"/>
    <w:basedOn w:val="a1"/>
    <w:uiPriority w:val="39"/>
    <w:rsid w:val="009B0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2F3E1D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2F3E1D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2F3E1D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F3E1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2F3E1D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2F3E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F3E1D"/>
    <w:rPr>
      <w:rFonts w:ascii="Segoe UI" w:hAnsi="Segoe UI" w:cs="Segoe UI"/>
      <w:sz w:val="18"/>
      <w:szCs w:val="18"/>
    </w:rPr>
  </w:style>
  <w:style w:type="character" w:styleId="ac">
    <w:name w:val="Hyperlink"/>
    <w:basedOn w:val="a0"/>
    <w:uiPriority w:val="99"/>
    <w:unhideWhenUsed/>
    <w:rsid w:val="006208AF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1535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8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2591</Words>
  <Characters>14773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Татьяна Бубновская</cp:lastModifiedBy>
  <cp:revision>2</cp:revision>
  <dcterms:created xsi:type="dcterms:W3CDTF">2025-04-15T03:36:00Z</dcterms:created>
  <dcterms:modified xsi:type="dcterms:W3CDTF">2025-04-15T03:36:00Z</dcterms:modified>
</cp:coreProperties>
</file>