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C13EBD" w14:textId="77777777" w:rsidR="00EC7184" w:rsidRPr="001D2128" w:rsidRDefault="00EC7184" w:rsidP="00EC7184">
      <w:pPr>
        <w:pStyle w:val="ac"/>
        <w:jc w:val="left"/>
        <w:rPr>
          <w:lang w:val="ru-RU"/>
        </w:rPr>
      </w:pPr>
      <w:r w:rsidRPr="001D2128">
        <w:rPr>
          <w:lang w:val="ru-RU"/>
        </w:rPr>
        <w:t>УДК 657.4:338.43</w:t>
      </w:r>
    </w:p>
    <w:p w14:paraId="4D90B366" w14:textId="77777777" w:rsidR="00EC7184" w:rsidRPr="001D2128" w:rsidRDefault="00EC7184" w:rsidP="00EC7184">
      <w:pPr>
        <w:pStyle w:val="ac"/>
      </w:pPr>
      <w:r w:rsidRPr="001D2128">
        <w:t>Разработка направлений совершенствования методики бухгалтерского учета нематериальных активов в организациях АПК</w:t>
      </w:r>
    </w:p>
    <w:p w14:paraId="452C1859" w14:textId="77777777" w:rsidR="007F312E" w:rsidRDefault="007F312E" w:rsidP="007F312E">
      <w:pPr>
        <w:pStyle w:val="a5"/>
        <w:jc w:val="center"/>
        <w:rPr>
          <w:b/>
          <w:bCs/>
          <w:lang w:val="ru-RU"/>
        </w:rPr>
      </w:pPr>
    </w:p>
    <w:p w14:paraId="433F289F" w14:textId="4DF18299" w:rsidR="00EC7184" w:rsidRPr="007F312E" w:rsidRDefault="007F312E" w:rsidP="007F312E">
      <w:pPr>
        <w:pStyle w:val="a5"/>
        <w:jc w:val="center"/>
        <w:rPr>
          <w:b/>
          <w:bCs/>
          <w:lang w:val="ru-RU"/>
        </w:rPr>
      </w:pPr>
      <w:bookmarkStart w:id="0" w:name="_GoBack"/>
      <w:bookmarkEnd w:id="0"/>
      <w:r w:rsidRPr="007F312E">
        <w:rPr>
          <w:b/>
          <w:bCs/>
          <w:lang w:val="ru-RU"/>
        </w:rPr>
        <w:t>Гончар Анастасия Валерьевна, магистрант ФГБОУ ВО ВВГУ</w:t>
      </w:r>
    </w:p>
    <w:p w14:paraId="476B28DB" w14:textId="56B98C41" w:rsidR="007F312E" w:rsidRPr="001D2128" w:rsidRDefault="007F312E" w:rsidP="007F312E">
      <w:pPr>
        <w:pStyle w:val="a5"/>
        <w:jc w:val="center"/>
        <w:rPr>
          <w:lang w:val="ru-RU"/>
        </w:rPr>
      </w:pPr>
      <w:r w:rsidRPr="007F312E">
        <w:rPr>
          <w:b/>
          <w:bCs/>
          <w:lang w:val="ru-RU"/>
        </w:rPr>
        <w:t>Бубновская Татьяна Викторовна, доцент ФГБОУ ВО ВВГУ</w:t>
      </w:r>
    </w:p>
    <w:p w14:paraId="54048F12" w14:textId="77777777" w:rsidR="007F312E" w:rsidRDefault="007F312E" w:rsidP="00EC7184">
      <w:pPr>
        <w:pStyle w:val="a5"/>
        <w:rPr>
          <w:b/>
          <w:bCs/>
        </w:rPr>
      </w:pPr>
    </w:p>
    <w:p w14:paraId="69062A0F" w14:textId="27466E5C" w:rsidR="00EC7184" w:rsidRPr="001D2128" w:rsidRDefault="00EC7184" w:rsidP="00EC7184">
      <w:pPr>
        <w:pStyle w:val="a5"/>
      </w:pPr>
      <w:r w:rsidRPr="001D2128">
        <w:rPr>
          <w:b/>
          <w:bCs/>
        </w:rPr>
        <w:t>Аннотация</w:t>
      </w:r>
      <w:r w:rsidRPr="001D2128">
        <w:rPr>
          <w:lang w:val="ru-RU"/>
        </w:rPr>
        <w:t xml:space="preserve">. </w:t>
      </w:r>
      <w:r w:rsidRPr="001D2128">
        <w:t>В условиях, когда интеллектуальный капитал</w:t>
      </w:r>
      <w:r>
        <w:rPr>
          <w:lang w:val="ru-RU"/>
        </w:rPr>
        <w:t xml:space="preserve"> </w:t>
      </w:r>
      <w:r w:rsidRPr="001D2128">
        <w:t>становится реальн</w:t>
      </w:r>
      <w:r w:rsidRPr="001D2128">
        <w:rPr>
          <w:lang w:val="ru-RU"/>
        </w:rPr>
        <w:t>ой «движущей силой»</w:t>
      </w:r>
      <w:r w:rsidRPr="001D2128">
        <w:t xml:space="preserve"> роста в агропромышленном комплексе, существующие подходы к его отражению в учёте оказываются неадекватными. Актуальность </w:t>
      </w:r>
      <w:r w:rsidRPr="001D2128">
        <w:rPr>
          <w:lang w:val="ru-RU"/>
        </w:rPr>
        <w:t>обсуждаемой темы</w:t>
      </w:r>
      <w:r w:rsidRPr="001D2128">
        <w:t xml:space="preserve"> обостряется обязательным переходом на новый ФСБУ 14/2022, который ставит перед бухгалтерами аграрных </w:t>
      </w:r>
      <w:r w:rsidRPr="001D2128">
        <w:rPr>
          <w:lang w:val="ru-RU"/>
        </w:rPr>
        <w:t>субъектов хозяйствования</w:t>
      </w:r>
      <w:r w:rsidRPr="001D2128">
        <w:t xml:space="preserve"> </w:t>
      </w:r>
      <w:r w:rsidRPr="001D2128">
        <w:rPr>
          <w:lang w:val="ru-RU"/>
        </w:rPr>
        <w:t xml:space="preserve">достаточно </w:t>
      </w:r>
      <w:r w:rsidRPr="001D2128">
        <w:t xml:space="preserve">сложные методологические задачи. Цель </w:t>
      </w:r>
      <w:r>
        <w:rPr>
          <w:lang w:val="ru-RU"/>
        </w:rPr>
        <w:t xml:space="preserve">статьи </w:t>
      </w:r>
      <w:r w:rsidRPr="001D2128">
        <w:t>— не просто констатировать проблемы, а разработать конкретные направления адаптации учётной методики к отраслевой специфике АПК для формирования достоверной финансовой информации.</w:t>
      </w:r>
      <w:r w:rsidRPr="001D2128">
        <w:rPr>
          <w:lang w:val="ru-RU"/>
        </w:rPr>
        <w:t xml:space="preserve"> Основное</w:t>
      </w:r>
      <w:r w:rsidRPr="001D2128">
        <w:t xml:space="preserve"> противоречие, выявленное в ходе анализа, заключается в разрыве между формальными требованиями стандарта (например, об оценке</w:t>
      </w:r>
      <w:r>
        <w:rPr>
          <w:lang w:val="ru-RU"/>
        </w:rPr>
        <w:t xml:space="preserve"> </w:t>
      </w:r>
      <w:r w:rsidRPr="001D2128">
        <w:t xml:space="preserve">справедливой стоимости) и практической невозможностью их исполнения для уникальных аграрных активов, не имеющих активного рынка. </w:t>
      </w:r>
      <w:r>
        <w:rPr>
          <w:lang w:val="ru-RU"/>
        </w:rPr>
        <w:t>Исходя из исследования,</w:t>
      </w:r>
      <w:r w:rsidRPr="001D2128">
        <w:t xml:space="preserve"> применение общих норм без отраслевой адаптации приводит к искажению реальной стоимости бизнеса.</w:t>
      </w:r>
      <w:r w:rsidRPr="001D2128">
        <w:rPr>
          <w:lang w:val="ru-RU"/>
        </w:rPr>
        <w:t xml:space="preserve"> Авторский </w:t>
      </w:r>
      <w:r w:rsidRPr="001D2128">
        <w:t>вклад состоит в предложении целостного подхода к совершенствованию методи</w:t>
      </w:r>
      <w:r w:rsidRPr="001D2128">
        <w:rPr>
          <w:lang w:val="ru-RU"/>
        </w:rPr>
        <w:t>ческого обеспечения</w:t>
      </w:r>
      <w:r w:rsidRPr="001D2128">
        <w:t xml:space="preserve">, который включает разработку отраслевых рекомендаций по идентификации и классификации НМА, использованию доходного и затратного подходов к оценке при отсутствии рыночных аналогов, созданию компетентных комиссий </w:t>
      </w:r>
      <w:r w:rsidRPr="001D2128">
        <w:rPr>
          <w:lang w:val="ru-RU"/>
        </w:rPr>
        <w:t>в целях</w:t>
      </w:r>
      <w:r w:rsidRPr="001D2128">
        <w:t xml:space="preserve"> определения срока полезного использования активов.</w:t>
      </w:r>
      <w:r w:rsidRPr="001D2128">
        <w:rPr>
          <w:lang w:val="ru-RU"/>
        </w:rPr>
        <w:t xml:space="preserve"> Материалы</w:t>
      </w:r>
      <w:r w:rsidRPr="001D2128">
        <w:t xml:space="preserve"> буд</w:t>
      </w:r>
      <w:r w:rsidRPr="001D2128">
        <w:rPr>
          <w:lang w:val="ru-RU"/>
        </w:rPr>
        <w:t>у</w:t>
      </w:r>
      <w:r w:rsidRPr="001D2128">
        <w:t>т полезн</w:t>
      </w:r>
      <w:r w:rsidRPr="001D2128">
        <w:rPr>
          <w:lang w:val="ru-RU"/>
        </w:rPr>
        <w:t>ы</w:t>
      </w:r>
      <w:r w:rsidRPr="001D2128">
        <w:t xml:space="preserve"> финансовым директорам и главным бухгалтерам сельскохозяйственных холдингов, аудиторам, </w:t>
      </w:r>
      <w:r w:rsidRPr="001D2128">
        <w:rPr>
          <w:lang w:val="ru-RU"/>
        </w:rPr>
        <w:t xml:space="preserve">которые </w:t>
      </w:r>
      <w:r w:rsidRPr="001D2128">
        <w:lastRenderedPageBreak/>
        <w:t>специализируются на АПК, научным сотрудникам, исследующим проблемы учёта в аграрной экономике.</w:t>
      </w:r>
    </w:p>
    <w:p w14:paraId="2C887A89" w14:textId="77777777" w:rsidR="00EC7184" w:rsidRPr="001D2128" w:rsidRDefault="00EC7184" w:rsidP="00EC7184">
      <w:pPr>
        <w:pStyle w:val="a5"/>
        <w:rPr>
          <w:lang w:val="ru-RU"/>
        </w:rPr>
      </w:pPr>
      <w:r w:rsidRPr="001D2128">
        <w:rPr>
          <w:b/>
          <w:bCs/>
        </w:rPr>
        <w:t>Ключевые слова</w:t>
      </w:r>
      <w:r w:rsidRPr="001D2128">
        <w:t>: агропромышленный комплекс, амортизация, бухгалтерский учёт, нематериальные активы, селекционные достижения, срок полезного использования</w:t>
      </w:r>
    </w:p>
    <w:p w14:paraId="0AD1A1A1" w14:textId="77777777" w:rsidR="00EC7184" w:rsidRPr="001D2128" w:rsidRDefault="00EC7184" w:rsidP="00EC7184">
      <w:pPr>
        <w:pStyle w:val="a5"/>
        <w:rPr>
          <w:lang w:val="ru-RU"/>
        </w:rPr>
      </w:pPr>
    </w:p>
    <w:p w14:paraId="27325862" w14:textId="77777777" w:rsidR="00EC7184" w:rsidRPr="001D2128" w:rsidRDefault="00EC7184" w:rsidP="00EC7184">
      <w:pPr>
        <w:pStyle w:val="ac"/>
      </w:pPr>
      <w:proofErr w:type="spellStart"/>
      <w:r w:rsidRPr="001D2128">
        <w:t>Development</w:t>
      </w:r>
      <w:proofErr w:type="spellEnd"/>
      <w:r w:rsidRPr="001D2128">
        <w:t xml:space="preserve"> </w:t>
      </w:r>
      <w:proofErr w:type="spellStart"/>
      <w:r w:rsidRPr="001D2128">
        <w:t>of</w:t>
      </w:r>
      <w:proofErr w:type="spellEnd"/>
      <w:r w:rsidRPr="001D2128">
        <w:t xml:space="preserve"> </w:t>
      </w:r>
      <w:proofErr w:type="spellStart"/>
      <w:r w:rsidRPr="001D2128">
        <w:t>directions</w:t>
      </w:r>
      <w:proofErr w:type="spellEnd"/>
      <w:r w:rsidRPr="001D2128">
        <w:t xml:space="preserve"> </w:t>
      </w:r>
      <w:proofErr w:type="spellStart"/>
      <w:r w:rsidRPr="001D2128">
        <w:t>for</w:t>
      </w:r>
      <w:proofErr w:type="spellEnd"/>
      <w:r w:rsidRPr="001D2128">
        <w:t xml:space="preserve"> </w:t>
      </w:r>
      <w:proofErr w:type="spellStart"/>
      <w:r w:rsidRPr="001D2128">
        <w:t>improving</w:t>
      </w:r>
      <w:proofErr w:type="spellEnd"/>
      <w:r w:rsidRPr="001D2128">
        <w:t xml:space="preserve"> </w:t>
      </w:r>
      <w:proofErr w:type="spellStart"/>
      <w:r w:rsidRPr="001D2128">
        <w:t>the</w:t>
      </w:r>
      <w:proofErr w:type="spellEnd"/>
      <w:r w:rsidRPr="001D2128">
        <w:t xml:space="preserve"> </w:t>
      </w:r>
      <w:proofErr w:type="spellStart"/>
      <w:r w:rsidRPr="001D2128">
        <w:t>accounting</w:t>
      </w:r>
      <w:proofErr w:type="spellEnd"/>
      <w:r w:rsidRPr="001D2128">
        <w:t xml:space="preserve"> </w:t>
      </w:r>
      <w:proofErr w:type="spellStart"/>
      <w:r w:rsidRPr="001D2128">
        <w:t>methodology</w:t>
      </w:r>
      <w:proofErr w:type="spellEnd"/>
      <w:r w:rsidRPr="001D2128">
        <w:t xml:space="preserve"> </w:t>
      </w:r>
      <w:proofErr w:type="spellStart"/>
      <w:r w:rsidRPr="001D2128">
        <w:t>of</w:t>
      </w:r>
      <w:proofErr w:type="spellEnd"/>
      <w:r w:rsidRPr="001D2128">
        <w:t xml:space="preserve"> </w:t>
      </w:r>
      <w:proofErr w:type="spellStart"/>
      <w:r w:rsidRPr="001D2128">
        <w:t>intangible</w:t>
      </w:r>
      <w:proofErr w:type="spellEnd"/>
      <w:r w:rsidRPr="001D2128">
        <w:t xml:space="preserve"> </w:t>
      </w:r>
      <w:proofErr w:type="spellStart"/>
      <w:r w:rsidRPr="001D2128">
        <w:t>assets</w:t>
      </w:r>
      <w:proofErr w:type="spellEnd"/>
      <w:r w:rsidRPr="001D2128">
        <w:t xml:space="preserve"> </w:t>
      </w:r>
      <w:proofErr w:type="spellStart"/>
      <w:r w:rsidRPr="001D2128">
        <w:t>in</w:t>
      </w:r>
      <w:proofErr w:type="spellEnd"/>
      <w:r w:rsidRPr="001D2128">
        <w:t xml:space="preserve"> </w:t>
      </w:r>
      <w:proofErr w:type="spellStart"/>
      <w:r w:rsidRPr="001D2128">
        <w:t>agricultural</w:t>
      </w:r>
      <w:proofErr w:type="spellEnd"/>
      <w:r w:rsidRPr="001D2128">
        <w:t xml:space="preserve"> </w:t>
      </w:r>
      <w:proofErr w:type="spellStart"/>
      <w:r w:rsidRPr="001D2128">
        <w:t>organizations</w:t>
      </w:r>
      <w:proofErr w:type="spellEnd"/>
    </w:p>
    <w:p w14:paraId="51757899" w14:textId="77777777" w:rsidR="00EC7184" w:rsidRPr="001D2128" w:rsidRDefault="00EC7184" w:rsidP="00EC7184">
      <w:pPr>
        <w:pStyle w:val="a5"/>
        <w:rPr>
          <w:b/>
          <w:bCs/>
          <w:lang w:val="en-US"/>
        </w:rPr>
      </w:pPr>
    </w:p>
    <w:p w14:paraId="22A06CFC" w14:textId="77777777" w:rsidR="00EC7184" w:rsidRPr="001D2128" w:rsidRDefault="00EC7184" w:rsidP="00EC7184">
      <w:pPr>
        <w:pStyle w:val="a5"/>
        <w:rPr>
          <w:lang w:val="en-US"/>
        </w:rPr>
      </w:pPr>
      <w:r w:rsidRPr="001D2128">
        <w:rPr>
          <w:b/>
          <w:bCs/>
          <w:lang w:val="en-US"/>
        </w:rPr>
        <w:t xml:space="preserve">Abstract. </w:t>
      </w:r>
      <w:r w:rsidRPr="001D2128">
        <w:rPr>
          <w:lang w:val="en-US"/>
        </w:rPr>
        <w:t>In conditions when intellectual capital</w:t>
      </w:r>
      <w:r w:rsidRPr="00CE64EC">
        <w:rPr>
          <w:lang w:val="en-US"/>
        </w:rPr>
        <w:t xml:space="preserve"> </w:t>
      </w:r>
      <w:r w:rsidRPr="001D2128">
        <w:rPr>
          <w:lang w:val="en-US"/>
        </w:rPr>
        <w:t xml:space="preserve">becomes a real "driving force" of growth in the agro-industrial complex, the existing approaches to its reflection in accounting turn out to be inadequate. The relevance of the topic under discussion is exacerbated by the mandatory transition to the new FSB 14/2022, which sets rather complex methodological tasks for accountants of agricultural business entities. The purpose of the article is not just to identify problems, but to develop specific directions for adapting accounting methods to the industry specifics of the </w:t>
      </w:r>
      <w:proofErr w:type="spellStart"/>
      <w:r w:rsidRPr="001D2128">
        <w:rPr>
          <w:lang w:val="en-US"/>
        </w:rPr>
        <w:t>agro</w:t>
      </w:r>
      <w:proofErr w:type="spellEnd"/>
      <w:r w:rsidRPr="001D2128">
        <w:rPr>
          <w:lang w:val="en-US"/>
        </w:rPr>
        <w:t xml:space="preserve">—industrial complex in order to generate reliable financial information. The main contradiction identified during the analysis lies in the gap between the formal requirements of the standard (for example, on fair value measurement) and the practical impossibility of their fulfillment for unique agricultural assets that do not have an active market. The author comes to the conclusion that the application of general standards without industry adaptation leads to a distortion of the real value of the business. The author's contribution consists in proposing a holistic approach to improving methodological support, which includes the development of industry recommendations on the identification and classification of IA, the use of profitable and costly approaches to valuation in the absence of market analogues, and the creation of competent commissions to determine the useful life of assets. The materials will be useful for financial directors and chief accountants of agricultural holdings, auditors who specialize in </w:t>
      </w:r>
      <w:r w:rsidRPr="001D2128">
        <w:rPr>
          <w:lang w:val="en-US"/>
        </w:rPr>
        <w:lastRenderedPageBreak/>
        <w:t>agriculture, and researchers who study accounting problems in the agricultural economy.</w:t>
      </w:r>
    </w:p>
    <w:p w14:paraId="7F81CC7F" w14:textId="77777777" w:rsidR="00EC7184" w:rsidRPr="001D2128" w:rsidRDefault="00EC7184" w:rsidP="00EC7184">
      <w:pPr>
        <w:pStyle w:val="a5"/>
        <w:rPr>
          <w:lang w:val="en-US"/>
        </w:rPr>
      </w:pPr>
      <w:r w:rsidRPr="001D2128">
        <w:rPr>
          <w:b/>
          <w:bCs/>
          <w:lang w:val="en-US"/>
        </w:rPr>
        <w:t xml:space="preserve">Keywords: </w:t>
      </w:r>
      <w:r w:rsidRPr="001D2128">
        <w:rPr>
          <w:lang w:val="en-US"/>
        </w:rPr>
        <w:t>agro-industrial complex, depreciation, accounting, intangible assets, breeding achievements, useful life</w:t>
      </w:r>
    </w:p>
    <w:p w14:paraId="318F12E2" w14:textId="77777777" w:rsidR="00EC7184" w:rsidRPr="001D2128" w:rsidRDefault="00EC7184" w:rsidP="00EC7184">
      <w:pPr>
        <w:pStyle w:val="a5"/>
        <w:rPr>
          <w:b/>
          <w:bCs/>
          <w:lang w:val="en-US"/>
        </w:rPr>
      </w:pPr>
    </w:p>
    <w:p w14:paraId="58D42D8F" w14:textId="77777777" w:rsidR="00EC7184" w:rsidRPr="001D2128" w:rsidRDefault="00EC7184" w:rsidP="00EC7184">
      <w:pPr>
        <w:pStyle w:val="a5"/>
        <w:rPr>
          <w:b/>
          <w:bCs/>
          <w:lang w:val="ru-RU"/>
        </w:rPr>
      </w:pPr>
      <w:r w:rsidRPr="001D2128">
        <w:rPr>
          <w:b/>
          <w:bCs/>
          <w:lang w:val="ru-RU"/>
        </w:rPr>
        <w:t>Введение</w:t>
      </w:r>
    </w:p>
    <w:p w14:paraId="5EE4AF66" w14:textId="77777777" w:rsidR="00EC7184" w:rsidRPr="001D2128" w:rsidRDefault="00EC7184" w:rsidP="00EC7184">
      <w:pPr>
        <w:pStyle w:val="a5"/>
        <w:rPr>
          <w:lang w:val="ru-RU"/>
        </w:rPr>
      </w:pPr>
      <w:r w:rsidRPr="001D2128">
        <w:rPr>
          <w:lang w:val="ru-RU"/>
        </w:rPr>
        <w:t xml:space="preserve">На фоне перехода к инновационной модели экономики и цифровизации производственных процессов роль нематериальных активов (НМА) в формировании стоимости бизнеса неуклонно возрастает. </w:t>
      </w:r>
    </w:p>
    <w:p w14:paraId="0629BDD7" w14:textId="77777777" w:rsidR="00EC7184" w:rsidRPr="001D2128" w:rsidRDefault="00EC7184" w:rsidP="00EC7184">
      <w:pPr>
        <w:pStyle w:val="a5"/>
        <w:rPr>
          <w:lang w:val="ru-RU"/>
        </w:rPr>
      </w:pPr>
      <w:r w:rsidRPr="001D2128">
        <w:rPr>
          <w:lang w:val="ru-RU"/>
        </w:rPr>
        <w:t>Для агропромышленного комплекса, где активно внедряются новые технологические разработки, сорта растений, породы животных, программные продукты, адекватная оценка и учет интеллектуальной собственности приобретают первостепенное значение. Вместе с тем, существующая практика бухгалтерского учета НМА в сельскохозяйственных организациях зачастую не отражает в полной мере их вклада в создание добавленной стоимости.</w:t>
      </w:r>
    </w:p>
    <w:p w14:paraId="0A649629" w14:textId="77777777" w:rsidR="00EC7184" w:rsidRPr="001D2128" w:rsidRDefault="00EC7184" w:rsidP="00EC7184">
      <w:pPr>
        <w:pStyle w:val="a5"/>
        <w:rPr>
          <w:lang w:val="ru-RU"/>
        </w:rPr>
      </w:pPr>
      <w:r w:rsidRPr="001D2128">
        <w:rPr>
          <w:lang w:val="ru-RU"/>
        </w:rPr>
        <w:t xml:space="preserve">Сложность идентификации, проблемы с определением справедливой стоимости и с установлением срока полезного использования, а также несовершенство нормативной базы создают значительные трудности для бухгалтеров. Это закономерно приводит к тому, что значительная часть интеллектуальных ресурсов либо вовсе не находит отражения на балансе предприятий, либо учитывается по заниженной стоимости. </w:t>
      </w:r>
    </w:p>
    <w:p w14:paraId="4FE14716" w14:textId="77777777" w:rsidR="00EC7184" w:rsidRPr="001D2128" w:rsidRDefault="00EC7184" w:rsidP="00EC7184">
      <w:pPr>
        <w:pStyle w:val="a5"/>
        <w:rPr>
          <w:lang w:val="ru-RU"/>
        </w:rPr>
      </w:pPr>
      <w:r w:rsidRPr="001D2128">
        <w:rPr>
          <w:lang w:val="ru-RU"/>
        </w:rPr>
        <w:t>Из-за подобных ситуаций искажается реальное финансовое положение аграрных компаний, снижается их инвестиционная привлекательность. Затрудняется эффективное управление интеллектуальным капиталом. Следовательно, разработка и внедрение усовершенствованной методики учета нематериальных активов, которая будет адаптирована к специфике АПК, представляет собой важную научную и практическую задачу.</w:t>
      </w:r>
    </w:p>
    <w:p w14:paraId="1070E692" w14:textId="77777777" w:rsidR="00EC7184" w:rsidRPr="001D2128" w:rsidRDefault="00EC7184" w:rsidP="00EC7184">
      <w:pPr>
        <w:pStyle w:val="a5"/>
        <w:rPr>
          <w:lang w:val="ru-RU"/>
        </w:rPr>
      </w:pPr>
    </w:p>
    <w:p w14:paraId="564A1EC4" w14:textId="77777777" w:rsidR="00EC7184" w:rsidRDefault="00EC7184" w:rsidP="00EC7184">
      <w:pPr>
        <w:rPr>
          <w:rFonts w:eastAsia="Calibri"/>
          <w:b/>
          <w:bCs/>
        </w:rPr>
      </w:pPr>
      <w:r>
        <w:rPr>
          <w:b/>
          <w:bCs/>
        </w:rPr>
        <w:br w:type="page"/>
      </w:r>
    </w:p>
    <w:p w14:paraId="748B3A17" w14:textId="77777777" w:rsidR="00EC7184" w:rsidRPr="001D2128" w:rsidRDefault="00EC7184" w:rsidP="00EC7184">
      <w:pPr>
        <w:pStyle w:val="a5"/>
        <w:rPr>
          <w:b/>
          <w:bCs/>
          <w:lang w:val="ru-RU"/>
        </w:rPr>
      </w:pPr>
      <w:r w:rsidRPr="001D2128">
        <w:rPr>
          <w:b/>
          <w:bCs/>
          <w:lang w:val="ru-RU"/>
        </w:rPr>
        <w:lastRenderedPageBreak/>
        <w:t>Материалы и методы</w:t>
      </w:r>
    </w:p>
    <w:p w14:paraId="1C406BFC" w14:textId="77777777" w:rsidR="00EC7184" w:rsidRDefault="00EC7184" w:rsidP="00EC7184">
      <w:pPr>
        <w:pStyle w:val="a5"/>
        <w:rPr>
          <w:lang w:val="ru-RU"/>
        </w:rPr>
      </w:pPr>
      <w:r w:rsidRPr="001D2128">
        <w:rPr>
          <w:lang w:val="ru-RU"/>
        </w:rPr>
        <w:t xml:space="preserve">По итогам ознакомления с современными публикациями зафиксировано, что изучение проблем учёта нематериальных активов ведётся в двух основных направлениях. </w:t>
      </w:r>
    </w:p>
    <w:p w14:paraId="6E7B5E1D" w14:textId="77777777" w:rsidR="00EC7184" w:rsidRPr="003D1798" w:rsidRDefault="00EC7184" w:rsidP="00EC7184">
      <w:pPr>
        <w:pStyle w:val="a5"/>
        <w:rPr>
          <w:lang w:val="ru-RU"/>
        </w:rPr>
      </w:pPr>
      <w:r w:rsidRPr="003D1798">
        <w:rPr>
          <w:lang w:val="ru-RU"/>
        </w:rPr>
        <w:t>Первое направление связано с осмыслением общих трансформационных процессов в бухгалтерском учёте, вызванных введением в действие ФСБУ 14/2022 «Нематериальные активы». Так, Е.Е. Голова [2] акцентирует внимание на том, что новый стандарт принципиально меняет подход к критериям признания НМА, расширяя рамки профессионального суждения бухгалтера</w:t>
      </w:r>
      <w:r>
        <w:rPr>
          <w:lang w:val="ru-RU"/>
        </w:rPr>
        <w:t>,</w:t>
      </w:r>
      <w:r w:rsidRPr="003D1798">
        <w:rPr>
          <w:lang w:val="ru-RU"/>
        </w:rPr>
        <w:t xml:space="preserve"> усиливая значение корректной документальной базы. И.Н. Макаров и соавторы [7] подробно исследуют вопросы первоначальной оценки активов, указывая на трудности, </w:t>
      </w:r>
      <w:r>
        <w:rPr>
          <w:lang w:val="ru-RU"/>
        </w:rPr>
        <w:t>которые появляются</w:t>
      </w:r>
      <w:r w:rsidRPr="003D1798">
        <w:rPr>
          <w:lang w:val="ru-RU"/>
        </w:rPr>
        <w:t xml:space="preserve"> при определении справедливой стоимости, а также на риски искажения финансового результата при неправильном выборе метода. Существенный вклад в проработку темы внесла С.Н. Поленова [9], которая рассматривает практические аспекты отражения нематериальных активов в отчётности </w:t>
      </w:r>
      <w:r>
        <w:rPr>
          <w:lang w:val="ru-RU"/>
        </w:rPr>
        <w:t>— она</w:t>
      </w:r>
      <w:r w:rsidRPr="003D1798">
        <w:rPr>
          <w:lang w:val="ru-RU"/>
        </w:rPr>
        <w:t xml:space="preserve"> отмечает противоречие между требованиями стандарта и возможностями автоматизированных бухгалтерских систем. С.А. Полухина и К.А. Свириденков [10] детализируют влияние ФСБУ 14/2022 на амортизационную политику, указывая на необходимость гибкого выбора метода списания стоимости НМА в зависимости от специфики деятельности организации. </w:t>
      </w:r>
      <w:r>
        <w:rPr>
          <w:lang w:val="ru-RU"/>
        </w:rPr>
        <w:t>Благодаря перечисленным исследованиям</w:t>
      </w:r>
      <w:r w:rsidRPr="003D1798">
        <w:rPr>
          <w:lang w:val="ru-RU"/>
        </w:rPr>
        <w:t xml:space="preserve"> созда</w:t>
      </w:r>
      <w:r>
        <w:rPr>
          <w:lang w:val="ru-RU"/>
        </w:rPr>
        <w:t>ется</w:t>
      </w:r>
      <w:r w:rsidRPr="003D1798">
        <w:rPr>
          <w:lang w:val="ru-RU"/>
        </w:rPr>
        <w:t xml:space="preserve"> методологическ</w:t>
      </w:r>
      <w:r>
        <w:rPr>
          <w:lang w:val="ru-RU"/>
        </w:rPr>
        <w:t>ая</w:t>
      </w:r>
      <w:r w:rsidRPr="003D1798">
        <w:rPr>
          <w:lang w:val="ru-RU"/>
        </w:rPr>
        <w:t xml:space="preserve"> баз</w:t>
      </w:r>
      <w:r>
        <w:rPr>
          <w:lang w:val="ru-RU"/>
        </w:rPr>
        <w:t>а</w:t>
      </w:r>
      <w:r w:rsidRPr="003D1798">
        <w:rPr>
          <w:lang w:val="ru-RU"/>
        </w:rPr>
        <w:t xml:space="preserve"> для понимания общих изменений в учёте, однако вопросы практической адаптации новаций к условиям отдельных отраслей остаются недостаточно проработанными.</w:t>
      </w:r>
    </w:p>
    <w:p w14:paraId="0DD667E3" w14:textId="77777777" w:rsidR="00EC7184" w:rsidRPr="003D1798" w:rsidRDefault="00EC7184" w:rsidP="00EC7184">
      <w:pPr>
        <w:pStyle w:val="a5"/>
        <w:rPr>
          <w:lang w:val="ru-RU"/>
        </w:rPr>
      </w:pPr>
      <w:r w:rsidRPr="003D1798">
        <w:rPr>
          <w:lang w:val="ru-RU"/>
        </w:rPr>
        <w:t xml:space="preserve">Второе направление </w:t>
      </w:r>
      <w:r>
        <w:rPr>
          <w:lang w:val="ru-RU"/>
        </w:rPr>
        <w:t>изысканий</w:t>
      </w:r>
      <w:r w:rsidRPr="003D1798">
        <w:rPr>
          <w:lang w:val="ru-RU"/>
        </w:rPr>
        <w:t xml:space="preserve"> </w:t>
      </w:r>
      <w:r>
        <w:rPr>
          <w:lang w:val="ru-RU"/>
        </w:rPr>
        <w:t>сфокусировано</w:t>
      </w:r>
      <w:r w:rsidRPr="003D1798">
        <w:rPr>
          <w:lang w:val="ru-RU"/>
        </w:rPr>
        <w:t xml:space="preserve"> на специфике функционирования агропромышленного комплекса (АПК), где роль НМА в повышении эффективности бизнеса приобретает особую значимость. В.А. Бутова [1] выявляет проблемы идентификации и отражения нематериальных активов в организациях АПК, связывая их с низким </w:t>
      </w:r>
      <w:r w:rsidRPr="00617E75">
        <w:rPr>
          <w:lang w:val="ru-RU"/>
        </w:rPr>
        <w:t>уровнем формализации</w:t>
      </w:r>
      <w:r w:rsidRPr="003D1798">
        <w:rPr>
          <w:lang w:val="ru-RU"/>
        </w:rPr>
        <w:t xml:space="preserve"> </w:t>
      </w:r>
      <w:r w:rsidRPr="003D1798">
        <w:rPr>
          <w:lang w:val="ru-RU"/>
        </w:rPr>
        <w:lastRenderedPageBreak/>
        <w:t>управленческих процессов и ограниченностью квалифицированных кадров. С.В. Гудков и А.Л. Тарасенко [3] предлагают конкретные пути совершенствования амортизационной методики, в частности, указывают на необходимость учёта сезонности сельхозпроизводства</w:t>
      </w:r>
      <w:r>
        <w:rPr>
          <w:lang w:val="ru-RU"/>
        </w:rPr>
        <w:t>,</w:t>
      </w:r>
      <w:r w:rsidRPr="003D1798">
        <w:rPr>
          <w:lang w:val="ru-RU"/>
        </w:rPr>
        <w:t xml:space="preserve"> различий в жизненном цикле НМА по сравнению с промышленными предприятиями. В исследовании А.С. Лосевой и </w:t>
      </w:r>
      <w:r>
        <w:rPr>
          <w:lang w:val="ru-RU"/>
        </w:rPr>
        <w:t>соавторов</w:t>
      </w:r>
      <w:r w:rsidRPr="003D1798">
        <w:rPr>
          <w:lang w:val="ru-RU"/>
        </w:rPr>
        <w:t xml:space="preserve"> [6] поднимается вопрос влияния выбранной учётной политики на финансовые показатели </w:t>
      </w:r>
      <w:r>
        <w:rPr>
          <w:lang w:val="ru-RU"/>
        </w:rPr>
        <w:t>организаций АПК</w:t>
      </w:r>
      <w:r w:rsidRPr="003D1798">
        <w:rPr>
          <w:lang w:val="ru-RU"/>
        </w:rPr>
        <w:t>; авторы обосновывают, что корректное отражение НМА способно стать инструментом повышения инвестиционной привлекательности</w:t>
      </w:r>
      <w:r>
        <w:rPr>
          <w:lang w:val="ru-RU"/>
        </w:rPr>
        <w:t>,</w:t>
      </w:r>
      <w:r w:rsidRPr="003D1798">
        <w:rPr>
          <w:lang w:val="ru-RU"/>
        </w:rPr>
        <w:t xml:space="preserve"> устойчивости бизнеса.</w:t>
      </w:r>
    </w:p>
    <w:p w14:paraId="755C31EC" w14:textId="77777777" w:rsidR="00EC7184" w:rsidRPr="003D1798" w:rsidRDefault="00EC7184" w:rsidP="00EC7184">
      <w:pPr>
        <w:pStyle w:val="a5"/>
        <w:rPr>
          <w:lang w:val="ru-RU"/>
        </w:rPr>
      </w:pPr>
      <w:r w:rsidRPr="003D1798">
        <w:rPr>
          <w:lang w:val="ru-RU"/>
        </w:rPr>
        <w:t xml:space="preserve">Отдельно </w:t>
      </w:r>
      <w:r>
        <w:rPr>
          <w:lang w:val="ru-RU"/>
        </w:rPr>
        <w:t>целесообразно</w:t>
      </w:r>
      <w:r w:rsidRPr="003D1798">
        <w:rPr>
          <w:lang w:val="ru-RU"/>
        </w:rPr>
        <w:t xml:space="preserve"> отметить </w:t>
      </w:r>
      <w:r>
        <w:rPr>
          <w:lang w:val="ru-RU"/>
        </w:rPr>
        <w:t>публикации</w:t>
      </w:r>
      <w:r w:rsidRPr="003D1798">
        <w:rPr>
          <w:lang w:val="ru-RU"/>
        </w:rPr>
        <w:t xml:space="preserve">, </w:t>
      </w:r>
      <w:r>
        <w:rPr>
          <w:lang w:val="ru-RU"/>
        </w:rPr>
        <w:t>ориентированные</w:t>
      </w:r>
      <w:r w:rsidRPr="003D1798">
        <w:rPr>
          <w:lang w:val="ru-RU"/>
        </w:rPr>
        <w:t xml:space="preserve"> на преодоление методологических трудностей в условиях цифровизации. Так, А.В. Дегтярев [4] рассматривает современные подходы к оценке НМА, включая использование стоимостных моделей, основанных на анализе цифровых потоков данных. Автор показывает, что традиционные методы (затратный, доходный, сравнительный) не всегда адекватны для </w:t>
      </w:r>
      <w:r>
        <w:rPr>
          <w:lang w:val="ru-RU"/>
        </w:rPr>
        <w:t>оценивания</w:t>
      </w:r>
      <w:r w:rsidRPr="003D1798">
        <w:rPr>
          <w:lang w:val="ru-RU"/>
        </w:rPr>
        <w:t xml:space="preserve"> новых видов активов — программных решений, </w:t>
      </w:r>
      <w:r>
        <w:rPr>
          <w:lang w:val="en-US"/>
        </w:rPr>
        <w:t>digital</w:t>
      </w:r>
      <w:r w:rsidRPr="00D70A49">
        <w:rPr>
          <w:lang w:val="ru-RU"/>
        </w:rPr>
        <w:t>-</w:t>
      </w:r>
      <w:r w:rsidRPr="003D1798">
        <w:rPr>
          <w:lang w:val="ru-RU"/>
        </w:rPr>
        <w:t>платформ</w:t>
      </w:r>
      <w:r>
        <w:rPr>
          <w:lang w:val="ru-RU"/>
        </w:rPr>
        <w:t>,</w:t>
      </w:r>
      <w:r w:rsidRPr="003D1798">
        <w:rPr>
          <w:lang w:val="ru-RU"/>
        </w:rPr>
        <w:t xml:space="preserve"> агротехнологических инноваций.</w:t>
      </w:r>
    </w:p>
    <w:p w14:paraId="6CF42F5B" w14:textId="77777777" w:rsidR="00EC7184" w:rsidRPr="001D2128" w:rsidRDefault="00EC7184" w:rsidP="00EC7184">
      <w:pPr>
        <w:pStyle w:val="a5"/>
        <w:rPr>
          <w:lang w:val="ru-RU"/>
        </w:rPr>
      </w:pPr>
      <w:r w:rsidRPr="003D1798">
        <w:rPr>
          <w:lang w:val="ru-RU"/>
        </w:rPr>
        <w:t xml:space="preserve">Таким образом, </w:t>
      </w:r>
      <w:r>
        <w:rPr>
          <w:lang w:val="ru-RU"/>
        </w:rPr>
        <w:t>в современных трудах</w:t>
      </w:r>
      <w:r w:rsidRPr="003D1798">
        <w:rPr>
          <w:lang w:val="ru-RU"/>
        </w:rPr>
        <w:t xml:space="preserve"> формиру</w:t>
      </w:r>
      <w:r>
        <w:rPr>
          <w:lang w:val="ru-RU"/>
        </w:rPr>
        <w:t>ется</w:t>
      </w:r>
      <w:r w:rsidRPr="003D1798">
        <w:rPr>
          <w:lang w:val="ru-RU"/>
        </w:rPr>
        <w:t xml:space="preserve"> разносторонн</w:t>
      </w:r>
      <w:r>
        <w:rPr>
          <w:lang w:val="ru-RU"/>
        </w:rPr>
        <w:t>яя</w:t>
      </w:r>
      <w:r w:rsidRPr="003D1798">
        <w:rPr>
          <w:lang w:val="ru-RU"/>
        </w:rPr>
        <w:t xml:space="preserve"> картин</w:t>
      </w:r>
      <w:r>
        <w:rPr>
          <w:lang w:val="ru-RU"/>
        </w:rPr>
        <w:t>а —</w:t>
      </w:r>
      <w:r w:rsidRPr="003D1798">
        <w:rPr>
          <w:lang w:val="ru-RU"/>
        </w:rPr>
        <w:t xml:space="preserve"> одни </w:t>
      </w:r>
      <w:r>
        <w:rPr>
          <w:lang w:val="ru-RU"/>
        </w:rPr>
        <w:t xml:space="preserve">исследователи </w:t>
      </w:r>
      <w:r w:rsidRPr="003D1798">
        <w:rPr>
          <w:lang w:val="ru-RU"/>
        </w:rPr>
        <w:t>акцентируют внимание на общих изменениях в регулировании бухгалтерского учёта НМА, другие — на прикладных проблемах агропромышленного сектора, третьи — на методологических аспектах в условиях цифров</w:t>
      </w:r>
      <w:r>
        <w:rPr>
          <w:lang w:val="ru-RU"/>
        </w:rPr>
        <w:t>ых</w:t>
      </w:r>
      <w:r w:rsidRPr="003D1798">
        <w:rPr>
          <w:lang w:val="ru-RU"/>
        </w:rPr>
        <w:t xml:space="preserve"> </w:t>
      </w:r>
      <w:r>
        <w:rPr>
          <w:lang w:val="ru-RU"/>
        </w:rPr>
        <w:t>преобразований</w:t>
      </w:r>
      <w:r w:rsidRPr="003D1798">
        <w:rPr>
          <w:lang w:val="ru-RU"/>
        </w:rPr>
        <w:t xml:space="preserve">. </w:t>
      </w:r>
      <w:r w:rsidRPr="001D2128">
        <w:rPr>
          <w:lang w:val="ru-RU"/>
        </w:rPr>
        <w:t xml:space="preserve">В целом, авторы сходятся во мнении о необходимости адаптации общих учётных правил к специфическим условиям хозяйствования аграрных субъектов для формирования </w:t>
      </w:r>
      <w:r>
        <w:rPr>
          <w:lang w:val="ru-RU"/>
        </w:rPr>
        <w:t>актуальной</w:t>
      </w:r>
      <w:r w:rsidRPr="001D2128">
        <w:rPr>
          <w:lang w:val="ru-RU"/>
        </w:rPr>
        <w:t xml:space="preserve"> информации об их интеллектуальном капитале.</w:t>
      </w:r>
    </w:p>
    <w:p w14:paraId="6EC9A360" w14:textId="77777777" w:rsidR="00EC7184" w:rsidRPr="001D2128" w:rsidRDefault="00EC7184" w:rsidP="00EC7184">
      <w:pPr>
        <w:pStyle w:val="a5"/>
        <w:rPr>
          <w:lang w:val="ru-RU"/>
        </w:rPr>
      </w:pPr>
      <w:r w:rsidRPr="001D2128">
        <w:rPr>
          <w:lang w:val="ru-RU"/>
        </w:rPr>
        <w:t xml:space="preserve">Несмотря на усиленное внимание к обсуждаемой теме в научной среде, существует определённый разрыв между анализом общих положений нового стандарта и разработкой практических рекомендаций для АПК. Основное противоречие проявляется в том, что, с одной стороны, требуется применение </w:t>
      </w:r>
      <w:r w:rsidRPr="001D2128">
        <w:rPr>
          <w:lang w:val="ru-RU"/>
        </w:rPr>
        <w:lastRenderedPageBreak/>
        <w:t>справедливой стоимости и проведения тестов на обесценение, а с другой — для многих специфических НМА в АПК (к примеру, селекционные достижения, ноу-хау в агротехнологиях) отсутствует активный рынок, что делает объективную оценку очень затруднительной. Слабо освещёнными остаются следующие проблемы:</w:t>
      </w:r>
    </w:p>
    <w:p w14:paraId="488D9AAD" w14:textId="77777777" w:rsidR="00EC7184" w:rsidRPr="001D2128" w:rsidRDefault="00EC7184" w:rsidP="00EC7184">
      <w:pPr>
        <w:pStyle w:val="a5"/>
        <w:rPr>
          <w:lang w:val="ru-RU"/>
        </w:rPr>
      </w:pPr>
      <w:r w:rsidRPr="001D2128">
        <w:rPr>
          <w:lang w:val="ru-RU"/>
        </w:rPr>
        <w:t>- методика оценивания внутренне созданных и не имеющих правовой охраны НМА</w:t>
      </w:r>
      <w:r>
        <w:rPr>
          <w:lang w:val="ru-RU"/>
        </w:rPr>
        <w:t>;</w:t>
      </w:r>
    </w:p>
    <w:p w14:paraId="7B73C1F9" w14:textId="77777777" w:rsidR="00EC7184" w:rsidRPr="001D2128" w:rsidRDefault="00EC7184" w:rsidP="00EC7184">
      <w:pPr>
        <w:pStyle w:val="a5"/>
        <w:rPr>
          <w:lang w:val="ru-RU"/>
        </w:rPr>
      </w:pPr>
      <w:r w:rsidRPr="001D2128">
        <w:rPr>
          <w:lang w:val="ru-RU"/>
        </w:rPr>
        <w:t>- порядок капитализации затрат на создание объектов интеллектуальной собственности в селекции и животноводстве;</w:t>
      </w:r>
    </w:p>
    <w:p w14:paraId="22E57993" w14:textId="77777777" w:rsidR="00EC7184" w:rsidRPr="001D2128" w:rsidRDefault="00EC7184" w:rsidP="00EC7184">
      <w:pPr>
        <w:pStyle w:val="a5"/>
        <w:rPr>
          <w:lang w:val="ru-RU"/>
        </w:rPr>
      </w:pPr>
      <w:r w:rsidRPr="001D2128">
        <w:rPr>
          <w:lang w:val="ru-RU"/>
        </w:rPr>
        <w:t>- влияние отражения НМА в отчётности на инвестиционную привлекательность, а также на рыночную капитализацию агропромышленных компаний.</w:t>
      </w:r>
    </w:p>
    <w:p w14:paraId="5875C9A7" w14:textId="77777777" w:rsidR="00EC7184" w:rsidRPr="001D2128" w:rsidRDefault="00EC7184" w:rsidP="00EC7184">
      <w:pPr>
        <w:pStyle w:val="a5"/>
        <w:rPr>
          <w:lang w:val="ru-RU"/>
        </w:rPr>
      </w:pPr>
      <w:r w:rsidRPr="001D2128">
        <w:rPr>
          <w:lang w:val="ru-RU"/>
        </w:rPr>
        <w:t>При подготовке статьи были применены следующие методы:</w:t>
      </w:r>
    </w:p>
    <w:p w14:paraId="39C5EFEC" w14:textId="77777777" w:rsidR="00EC7184" w:rsidRPr="001D2128" w:rsidRDefault="00EC7184" w:rsidP="00EC7184">
      <w:pPr>
        <w:pStyle w:val="a5"/>
        <w:rPr>
          <w:lang w:val="ru-RU"/>
        </w:rPr>
      </w:pPr>
      <w:r w:rsidRPr="001D2128">
        <w:rPr>
          <w:lang w:val="ru-RU"/>
        </w:rPr>
        <w:t>- анализ научной литературы (изучение и критическое осмысление публикаций по теме исследования);</w:t>
      </w:r>
    </w:p>
    <w:p w14:paraId="79920BEB" w14:textId="77777777" w:rsidR="00EC7184" w:rsidRPr="001D2128" w:rsidRDefault="00EC7184" w:rsidP="00EC7184">
      <w:pPr>
        <w:pStyle w:val="a5"/>
        <w:rPr>
          <w:lang w:val="ru-RU"/>
        </w:rPr>
      </w:pPr>
      <w:r w:rsidRPr="001D2128">
        <w:rPr>
          <w:lang w:val="ru-RU"/>
        </w:rPr>
        <w:t>- синтез (объединение и обобщение различных теоретических подходов, практических рекомендаций);</w:t>
      </w:r>
    </w:p>
    <w:p w14:paraId="72E038BE" w14:textId="77777777" w:rsidR="00EC7184" w:rsidRPr="001D2128" w:rsidRDefault="00EC7184" w:rsidP="00EC7184">
      <w:pPr>
        <w:pStyle w:val="a5"/>
        <w:rPr>
          <w:lang w:val="ru-RU"/>
        </w:rPr>
      </w:pPr>
      <w:r w:rsidRPr="001D2128">
        <w:rPr>
          <w:lang w:val="ru-RU"/>
        </w:rPr>
        <w:t>- систематизация (группировка источников по ключевым направлениям изысканий);</w:t>
      </w:r>
    </w:p>
    <w:p w14:paraId="1EEDD353" w14:textId="77777777" w:rsidR="00EC7184" w:rsidRPr="001D2128" w:rsidRDefault="00EC7184" w:rsidP="00EC7184">
      <w:pPr>
        <w:pStyle w:val="a5"/>
        <w:rPr>
          <w:lang w:val="ru-RU"/>
        </w:rPr>
      </w:pPr>
      <w:r w:rsidRPr="001D2128">
        <w:rPr>
          <w:lang w:val="ru-RU"/>
        </w:rPr>
        <w:t>- индуктивный метод (формулирование общих выводов о проблемах и вариантах усовершенствования бухучёта).</w:t>
      </w:r>
    </w:p>
    <w:p w14:paraId="24D0EC33" w14:textId="77777777" w:rsidR="00EC7184" w:rsidRPr="001D2128" w:rsidRDefault="00EC7184" w:rsidP="00EC7184">
      <w:pPr>
        <w:pStyle w:val="a5"/>
        <w:rPr>
          <w:lang w:val="ru-RU"/>
        </w:rPr>
      </w:pPr>
    </w:p>
    <w:p w14:paraId="7E021A38" w14:textId="77777777" w:rsidR="00EC7184" w:rsidRPr="001D2128" w:rsidRDefault="00EC7184" w:rsidP="00EC7184">
      <w:pPr>
        <w:pStyle w:val="a5"/>
        <w:rPr>
          <w:b/>
          <w:bCs/>
          <w:lang w:val="ru-RU"/>
        </w:rPr>
      </w:pPr>
      <w:r w:rsidRPr="001D2128">
        <w:rPr>
          <w:b/>
          <w:bCs/>
          <w:lang w:val="ru-RU"/>
        </w:rPr>
        <w:t>Результаты и обсуждение</w:t>
      </w:r>
    </w:p>
    <w:p w14:paraId="31B4D14D" w14:textId="77777777" w:rsidR="00EC7184" w:rsidRPr="001D2128" w:rsidRDefault="00EC7184" w:rsidP="00EC7184">
      <w:pPr>
        <w:pStyle w:val="a5"/>
        <w:rPr>
          <w:lang w:val="ru-RU"/>
        </w:rPr>
      </w:pPr>
      <w:r w:rsidRPr="001D2128">
        <w:t xml:space="preserve">Современная нормативная база, с помощью которой регулируется учет нематериальных активов в Российской Федерации, представлена, в первую очередь, ФСБУ 14/2022. Его применение стало обязательным для всех организаций (за некоторыми исключениями). </w:t>
      </w:r>
      <w:r w:rsidRPr="001D2128">
        <w:rPr>
          <w:lang w:val="ru-RU"/>
        </w:rPr>
        <w:t xml:space="preserve">Следует упомянуть о </w:t>
      </w:r>
      <w:r w:rsidRPr="001D2128">
        <w:t>Положени</w:t>
      </w:r>
      <w:r w:rsidRPr="001D2128">
        <w:rPr>
          <w:lang w:val="ru-RU"/>
        </w:rPr>
        <w:t>и</w:t>
      </w:r>
      <w:r w:rsidRPr="001D2128">
        <w:t xml:space="preserve"> по бухгалтерскому учёту ПБУ 14/2007, которое ранее выполняло эту роль, </w:t>
      </w:r>
      <w:r w:rsidRPr="001D2128">
        <w:rPr>
          <w:lang w:val="ru-RU"/>
        </w:rPr>
        <w:t xml:space="preserve">— </w:t>
      </w:r>
      <w:r w:rsidRPr="001D2128">
        <w:t>с 1 января 2024 года</w:t>
      </w:r>
      <w:r w:rsidRPr="001D2128">
        <w:rPr>
          <w:lang w:val="ru-RU"/>
        </w:rPr>
        <w:t xml:space="preserve"> оно</w:t>
      </w:r>
      <w:r w:rsidRPr="001D2128">
        <w:t xml:space="preserve"> полностью прекратило своё действие. </w:t>
      </w:r>
      <w:r w:rsidRPr="001D2128">
        <w:lastRenderedPageBreak/>
        <w:t>Таким образом, ориентироваться на его нормы при ведении учёта в настоящее время некорректно</w:t>
      </w:r>
      <w:r w:rsidRPr="001D2128">
        <w:rPr>
          <w:lang w:val="ru-RU"/>
        </w:rPr>
        <w:t xml:space="preserve"> [2, 7]</w:t>
      </w:r>
      <w:r w:rsidRPr="001D2128">
        <w:t>.</w:t>
      </w:r>
    </w:p>
    <w:p w14:paraId="00CE53AA" w14:textId="77777777" w:rsidR="00EC7184" w:rsidRPr="001D2128" w:rsidRDefault="00EC7184" w:rsidP="00EC7184">
      <w:pPr>
        <w:pStyle w:val="a5"/>
        <w:rPr>
          <w:lang w:val="ru-RU"/>
        </w:rPr>
      </w:pPr>
      <w:r w:rsidRPr="001D2128">
        <w:rPr>
          <w:lang w:val="ru-RU"/>
        </w:rPr>
        <w:t>На глобальном уровне учёт НМА регулируется МСФО (IAS) 38 «Нематериальные активы». Российский стандарт разработан с целью сближения национальных правил учёта с международными практиками [9-11]. Невзирая на соответствующие попытки, остается ряд нерешенных вопросов, которые особенно остро проявляются в аграрном секторе.</w:t>
      </w:r>
    </w:p>
    <w:p w14:paraId="066C4853" w14:textId="77777777" w:rsidR="00EC7184" w:rsidRPr="001D2128" w:rsidRDefault="00EC7184" w:rsidP="00EC7184">
      <w:pPr>
        <w:pStyle w:val="a5"/>
        <w:rPr>
          <w:lang w:val="ru-RU"/>
        </w:rPr>
      </w:pPr>
      <w:r w:rsidRPr="001D2128">
        <w:rPr>
          <w:lang w:val="ru-RU"/>
        </w:rPr>
        <w:t>Одной из ключевых проблем является идентификация и признание специфических для АПК объектов НМА (рис. 1):</w:t>
      </w:r>
    </w:p>
    <w:p w14:paraId="031F4809" w14:textId="77777777" w:rsidR="00EC7184" w:rsidRPr="001D2128" w:rsidRDefault="00EC7184" w:rsidP="00EC7184">
      <w:pPr>
        <w:pStyle w:val="a5"/>
        <w:ind w:firstLine="0"/>
        <w:jc w:val="center"/>
        <w:rPr>
          <w:lang w:val="ru-RU"/>
        </w:rPr>
      </w:pPr>
      <w:r w:rsidRPr="001D2128">
        <w:rPr>
          <w:noProof/>
          <w:lang w:val="ru-RU"/>
        </w:rPr>
        <w:drawing>
          <wp:inline distT="0" distB="0" distL="0" distR="0" wp14:anchorId="5051181C" wp14:editId="5216CB21">
            <wp:extent cx="5486400" cy="4384431"/>
            <wp:effectExtent l="0" t="38100" r="0" b="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14:paraId="621B42DD" w14:textId="77777777" w:rsidR="00EC7184" w:rsidRPr="001D2128" w:rsidRDefault="00EC7184" w:rsidP="00EC7184">
      <w:pPr>
        <w:pStyle w:val="a5"/>
        <w:ind w:firstLine="0"/>
        <w:jc w:val="center"/>
        <w:rPr>
          <w:lang w:val="ru-RU"/>
        </w:rPr>
      </w:pPr>
      <w:r w:rsidRPr="001D2128">
        <w:rPr>
          <w:lang w:val="ru-RU"/>
        </w:rPr>
        <w:t xml:space="preserve">Рис. 1. Специфические для АПК объекты НМА </w:t>
      </w:r>
    </w:p>
    <w:p w14:paraId="4AE0FEB1" w14:textId="77777777" w:rsidR="00EC7184" w:rsidRPr="001D2128" w:rsidRDefault="00EC7184" w:rsidP="00EC7184">
      <w:pPr>
        <w:pStyle w:val="a5"/>
        <w:ind w:firstLine="0"/>
        <w:jc w:val="center"/>
        <w:rPr>
          <w:lang w:val="ru-RU"/>
        </w:rPr>
      </w:pPr>
      <w:r w:rsidRPr="001D2128">
        <w:rPr>
          <w:lang w:val="ru-RU"/>
        </w:rPr>
        <w:t>(составлено на основе [1, 3-5, 8])</w:t>
      </w:r>
    </w:p>
    <w:p w14:paraId="3497A29F" w14:textId="77777777" w:rsidR="00EC7184" w:rsidRPr="001D2128" w:rsidRDefault="00EC7184" w:rsidP="00EC7184">
      <w:pPr>
        <w:pStyle w:val="a5"/>
        <w:ind w:firstLine="0"/>
        <w:jc w:val="center"/>
        <w:rPr>
          <w:lang w:val="ru-RU"/>
        </w:rPr>
      </w:pPr>
    </w:p>
    <w:p w14:paraId="38466AD4" w14:textId="77777777" w:rsidR="00EC7184" w:rsidRPr="001D2128" w:rsidRDefault="00EC7184" w:rsidP="00EC7184">
      <w:pPr>
        <w:pStyle w:val="a5"/>
        <w:rPr>
          <w:lang w:val="ru-RU"/>
        </w:rPr>
      </w:pPr>
      <w:r w:rsidRPr="001D2128">
        <w:rPr>
          <w:lang w:val="ru-RU"/>
        </w:rPr>
        <w:t xml:space="preserve">Что касается селекционных достижений, то речь идёт о новых сортах растений и породах животных. Сложность их учета обусловлена длительным и затратным процессом создания, а также трудностью прогнозирования </w:t>
      </w:r>
      <w:r w:rsidRPr="001D2128">
        <w:rPr>
          <w:lang w:val="ru-RU"/>
        </w:rPr>
        <w:lastRenderedPageBreak/>
        <w:t>коммерческого успеха. Затраты на селекцию часто списываются на текущие расходы, что приводит к «потере» ценного актива из вида.</w:t>
      </w:r>
    </w:p>
    <w:p w14:paraId="007D2248" w14:textId="77777777" w:rsidR="00EC7184" w:rsidRPr="001D2128" w:rsidRDefault="00EC7184" w:rsidP="00EC7184">
      <w:pPr>
        <w:pStyle w:val="a5"/>
        <w:rPr>
          <w:lang w:val="ru-RU"/>
        </w:rPr>
      </w:pPr>
      <w:r w:rsidRPr="001D2128">
        <w:rPr>
          <w:lang w:val="ru-RU"/>
        </w:rPr>
        <w:t>Относительно товарных знаков и наименований мест происхождения товаров важно отметить следующее. Для аграрной продукции, ориентированной на потребительский рынок (например, «Вологодское масло», «Адыгейский сыр»), бренд играет колоссальную роль. Однако расходы на его создание и продвижение носят разрозненный характер, и методика их капитализации недостаточно проработана.</w:t>
      </w:r>
    </w:p>
    <w:p w14:paraId="5B98E0C6" w14:textId="77777777" w:rsidR="00EC7184" w:rsidRPr="001D2128" w:rsidRDefault="00EC7184" w:rsidP="00EC7184">
      <w:pPr>
        <w:pStyle w:val="a5"/>
        <w:rPr>
          <w:lang w:val="ru-RU"/>
        </w:rPr>
      </w:pPr>
      <w:r w:rsidRPr="001D2128">
        <w:rPr>
          <w:lang w:val="ru-RU"/>
        </w:rPr>
        <w:t>Уникальные методики обработки почвы, схемы применения удобрений, рационы кормления скота относятся к категории ноу-хау. Эти объекты зачастую не имеют правовой защиты (в отличие от патентов), но представляют значительную коммерческую ценность. Их документальное оформление и постановка на баланс вызывают наибольшие затруднения.</w:t>
      </w:r>
    </w:p>
    <w:p w14:paraId="12F3E3C0" w14:textId="77777777" w:rsidR="00EC7184" w:rsidRPr="001D2128" w:rsidRDefault="00EC7184" w:rsidP="00EC7184">
      <w:pPr>
        <w:pStyle w:val="a5"/>
        <w:rPr>
          <w:lang w:val="ru-RU"/>
        </w:rPr>
      </w:pPr>
      <w:r w:rsidRPr="001D2128">
        <w:rPr>
          <w:lang w:val="ru-RU"/>
        </w:rPr>
        <w:t>Системы GPS-мониторинга, программы для управления сельскохозяйственной техникой</w:t>
      </w:r>
      <w:r>
        <w:rPr>
          <w:lang w:val="ru-RU"/>
        </w:rPr>
        <w:t xml:space="preserve"> </w:t>
      </w:r>
      <w:r w:rsidRPr="001D2128">
        <w:rPr>
          <w:lang w:val="ru-RU"/>
        </w:rPr>
        <w:t>— всё это сопряжено с</w:t>
      </w:r>
      <w:r w:rsidRPr="001D2128">
        <w:t xml:space="preserve"> </w:t>
      </w:r>
      <w:r w:rsidRPr="001D2128">
        <w:rPr>
          <w:lang w:val="ru-RU"/>
        </w:rPr>
        <w:t>программным обеспечением для «точного земледелия». Их учет осложняется необходимостью разграничения затрат на приобретение самого ПО и расходов на его внедрение, адаптацию, обучение персонала.</w:t>
      </w:r>
    </w:p>
    <w:p w14:paraId="3174F732" w14:textId="77777777" w:rsidR="00EC7184" w:rsidRPr="001D2128" w:rsidRDefault="00EC7184" w:rsidP="00EC7184">
      <w:pPr>
        <w:pStyle w:val="a5"/>
        <w:rPr>
          <w:lang w:val="ru-RU"/>
        </w:rPr>
      </w:pPr>
      <w:r w:rsidRPr="001D2128">
        <w:rPr>
          <w:lang w:val="ru-RU"/>
        </w:rPr>
        <w:t xml:space="preserve">Второй серьезной трудностью целесообразно признать определение первоначальной и последующей стоимости НМА. Для объектов, которые созданы собственными силами (к примеру, селекционное достижение), в первоначальную стоимость включается широкий перечень расходов — от оплаты труда селекционеров до издержек на регистрацию патента. Однако на практике четко разграничить затраты на создание актива и общие научные изыскания бывает весьма проблематично. Еще более сложным представляется вопрос переоценки НМА до справедливой стоимости. В отличие от недвижимости или оборудования, для уникальных аграрных патентов или ноу-хау активный рынок, как правило, отсутствует, что делает применение рыночных методов оценки практически невозможным. В результате большинство НМА в АПК учитываются по исторической </w:t>
      </w:r>
      <w:r w:rsidRPr="001D2128">
        <w:rPr>
          <w:lang w:val="ru-RU"/>
        </w:rPr>
        <w:lastRenderedPageBreak/>
        <w:t>стоимости за вычетом накопленной амортизации, что не отражает их действительной текущей ценности [4, 6].</w:t>
      </w:r>
    </w:p>
    <w:p w14:paraId="6F3C06B6" w14:textId="77777777" w:rsidR="00EC7184" w:rsidRPr="001D2128" w:rsidRDefault="00EC7184" w:rsidP="00EC7184">
      <w:pPr>
        <w:pStyle w:val="a5"/>
        <w:rPr>
          <w:lang w:val="ru-RU"/>
        </w:rPr>
      </w:pPr>
      <w:r w:rsidRPr="001D2128">
        <w:rPr>
          <w:lang w:val="ru-RU"/>
        </w:rPr>
        <w:t xml:space="preserve">Третий аспект — установление срока полезного использования и амортизация. Возникают сложности с определённостью сроков. Например, как долго новый сорт пшеницы будет оставаться конкурентоспособным на рынке? Размытость в </w:t>
      </w:r>
      <w:r>
        <w:rPr>
          <w:lang w:val="ru-RU"/>
        </w:rPr>
        <w:t>подобных вопросах</w:t>
      </w:r>
      <w:r w:rsidRPr="001D2128">
        <w:rPr>
          <w:lang w:val="ru-RU"/>
        </w:rPr>
        <w:t xml:space="preserve"> приводит к формальному подходу относительно срочности, что искажает величину амортизационных отчислений и, как следствие, финансовый результат деятельности [1, 8].</w:t>
      </w:r>
    </w:p>
    <w:p w14:paraId="6CDA743E" w14:textId="77777777" w:rsidR="00EC7184" w:rsidRPr="001D2128" w:rsidRDefault="00EC7184" w:rsidP="00EC7184">
      <w:pPr>
        <w:pStyle w:val="a5"/>
        <w:rPr>
          <w:lang w:val="ru-RU"/>
        </w:rPr>
      </w:pPr>
      <w:r w:rsidRPr="001D2128">
        <w:rPr>
          <w:lang w:val="ru-RU"/>
        </w:rPr>
        <w:t>Исходя из выявленных проблем, представляется целесообразным сформулировать несколько ключевых направлений по усовершенствованию учетной методологии нематериальных активов в организациях АПК.</w:t>
      </w:r>
    </w:p>
    <w:p w14:paraId="13AA5FBE" w14:textId="77777777" w:rsidR="00EC7184" w:rsidRPr="001D2128" w:rsidRDefault="00EC7184" w:rsidP="00EC7184">
      <w:pPr>
        <w:pStyle w:val="a5"/>
        <w:rPr>
          <w:lang w:val="ru-RU"/>
        </w:rPr>
      </w:pPr>
      <w:r w:rsidRPr="001D2128">
        <w:rPr>
          <w:lang w:val="ru-RU"/>
        </w:rPr>
        <w:t>Во-первых, предлагается разработать и внедрить детализированные отраслевые методические рекомендации, которые содержали бы:</w:t>
      </w:r>
    </w:p>
    <w:p w14:paraId="0A27C130" w14:textId="77777777" w:rsidR="00EC7184" w:rsidRPr="001D2128" w:rsidRDefault="00EC7184" w:rsidP="00EC7184">
      <w:pPr>
        <w:pStyle w:val="a5"/>
        <w:rPr>
          <w:lang w:val="ru-RU"/>
        </w:rPr>
      </w:pPr>
      <w:r w:rsidRPr="001D2128">
        <w:rPr>
          <w:lang w:val="ru-RU"/>
        </w:rPr>
        <w:t>- четкий перечень типичных для АПК объектов НМА с подробным описанием их характеристик и критериев признания в качестве актива;</w:t>
      </w:r>
    </w:p>
    <w:p w14:paraId="322AF4A7" w14:textId="77777777" w:rsidR="00EC7184" w:rsidRPr="001D2128" w:rsidRDefault="00EC7184" w:rsidP="00EC7184">
      <w:pPr>
        <w:pStyle w:val="a5"/>
        <w:rPr>
          <w:lang w:val="ru-RU"/>
        </w:rPr>
      </w:pPr>
      <w:r w:rsidRPr="001D2128">
        <w:rPr>
          <w:lang w:val="ru-RU"/>
        </w:rPr>
        <w:t>- руководства по документальному оформлению и внутренней регистрации объектов, не имеющих внешней правовой охраны (ноу-хау, внутренние базы данных). Следует предусмотреть локальные нормативные акты (положения об интеллектуальной собственности, приказы о вводе в эксплуатацию), которые служили бы основанием для постановки на учет;</w:t>
      </w:r>
    </w:p>
    <w:p w14:paraId="34F87692" w14:textId="77777777" w:rsidR="00EC7184" w:rsidRPr="001D2128" w:rsidRDefault="00EC7184" w:rsidP="00EC7184">
      <w:pPr>
        <w:pStyle w:val="a5"/>
        <w:rPr>
          <w:lang w:val="ru-RU"/>
        </w:rPr>
      </w:pPr>
      <w:r w:rsidRPr="001D2128">
        <w:rPr>
          <w:lang w:val="ru-RU"/>
        </w:rPr>
        <w:t>- классификацию НМА не только по видам, но и по их функциональной роли в производственном процессе (к примеру, нематериальные активы, обеспечивающие повышение урожайности или направленные на снижение себестоимости, или НМА, формирующие бренд и рыночную стоимость продукции).</w:t>
      </w:r>
    </w:p>
    <w:p w14:paraId="3AE998F4" w14:textId="180DE7AD" w:rsidR="00EC7184" w:rsidRPr="001D2128" w:rsidRDefault="00EC7184" w:rsidP="00EC7184">
      <w:pPr>
        <w:pStyle w:val="a5"/>
        <w:rPr>
          <w:lang w:val="ru-RU"/>
        </w:rPr>
      </w:pPr>
      <w:r w:rsidRPr="001D2128">
        <w:rPr>
          <w:lang w:val="ru-RU"/>
        </w:rPr>
        <w:t>Во-вторых, для решения проблем, связанных с оценкой, предлагается перечень шагов, описанны</w:t>
      </w:r>
      <w:r w:rsidR="00CF1AF8">
        <w:rPr>
          <w:lang w:val="ru-RU"/>
        </w:rPr>
        <w:t>х</w:t>
      </w:r>
      <w:r w:rsidRPr="001D2128">
        <w:rPr>
          <w:lang w:val="ru-RU"/>
        </w:rPr>
        <w:t xml:space="preserve"> в таблице 1.</w:t>
      </w:r>
    </w:p>
    <w:p w14:paraId="2E9DA148" w14:textId="77777777" w:rsidR="00EC7184" w:rsidRPr="001D2128" w:rsidRDefault="00EC7184" w:rsidP="00EC7184">
      <w:pPr>
        <w:rPr>
          <w:rFonts w:eastAsia="Calibri"/>
        </w:rPr>
      </w:pPr>
      <w:r w:rsidRPr="001D2128">
        <w:br w:type="page"/>
      </w:r>
    </w:p>
    <w:p w14:paraId="70411C6C" w14:textId="77777777" w:rsidR="00EC7184" w:rsidRPr="001D2128" w:rsidRDefault="00EC7184" w:rsidP="00EC7184">
      <w:pPr>
        <w:pStyle w:val="a5"/>
        <w:ind w:firstLine="0"/>
        <w:jc w:val="center"/>
        <w:rPr>
          <w:lang w:val="ru-RU"/>
        </w:rPr>
      </w:pPr>
      <w:r w:rsidRPr="001D2128">
        <w:rPr>
          <w:lang w:val="ru-RU"/>
        </w:rPr>
        <w:lastRenderedPageBreak/>
        <w:t>Таблица 1 – Пути разрешения проблем, сопряженных с оценкой НМА</w:t>
      </w:r>
    </w:p>
    <w:tbl>
      <w:tblPr>
        <w:tblStyle w:val="ab"/>
        <w:tblW w:w="0" w:type="auto"/>
        <w:tblLook w:val="04A0" w:firstRow="1" w:lastRow="0" w:firstColumn="1" w:lastColumn="0" w:noHBand="0" w:noVBand="1"/>
      </w:tblPr>
      <w:tblGrid>
        <w:gridCol w:w="3823"/>
        <w:gridCol w:w="5521"/>
      </w:tblGrid>
      <w:tr w:rsidR="00EC7184" w:rsidRPr="001D2128" w14:paraId="463ADC15" w14:textId="77777777" w:rsidTr="00C60FD2">
        <w:tc>
          <w:tcPr>
            <w:tcW w:w="3823" w:type="dxa"/>
          </w:tcPr>
          <w:p w14:paraId="0CEC5033" w14:textId="77777777" w:rsidR="00EC7184" w:rsidRPr="001D2128" w:rsidRDefault="00EC7184" w:rsidP="00C60FD2">
            <w:pPr>
              <w:pStyle w:val="a3"/>
              <w:rPr>
                <w:b/>
                <w:bCs/>
              </w:rPr>
            </w:pPr>
            <w:r w:rsidRPr="001D2128">
              <w:rPr>
                <w:b/>
                <w:bCs/>
              </w:rPr>
              <w:t>Направление</w:t>
            </w:r>
          </w:p>
        </w:tc>
        <w:tc>
          <w:tcPr>
            <w:tcW w:w="5521" w:type="dxa"/>
          </w:tcPr>
          <w:p w14:paraId="60CD7CD5" w14:textId="77777777" w:rsidR="00EC7184" w:rsidRPr="001D2128" w:rsidRDefault="00EC7184" w:rsidP="00C60FD2">
            <w:pPr>
              <w:pStyle w:val="a3"/>
              <w:rPr>
                <w:b/>
                <w:bCs/>
              </w:rPr>
            </w:pPr>
            <w:r w:rsidRPr="001D2128">
              <w:rPr>
                <w:b/>
                <w:bCs/>
              </w:rPr>
              <w:t>Описание</w:t>
            </w:r>
          </w:p>
        </w:tc>
      </w:tr>
      <w:tr w:rsidR="00EC7184" w:rsidRPr="001D2128" w14:paraId="18287F19" w14:textId="77777777" w:rsidTr="00C60FD2">
        <w:tc>
          <w:tcPr>
            <w:tcW w:w="3823" w:type="dxa"/>
          </w:tcPr>
          <w:p w14:paraId="5B19F043" w14:textId="77777777" w:rsidR="00EC7184" w:rsidRPr="001D2128" w:rsidRDefault="00EC7184" w:rsidP="00C60FD2">
            <w:pPr>
              <w:pStyle w:val="a3"/>
              <w:rPr>
                <w:lang w:val="ru-RU"/>
              </w:rPr>
            </w:pPr>
            <w:r w:rsidRPr="001D2128">
              <w:rPr>
                <w:lang w:val="ru-RU"/>
              </w:rPr>
              <w:t xml:space="preserve">1. </w:t>
            </w:r>
            <w:r w:rsidRPr="001D2128">
              <w:t>Детализировать состав затрат, включаемых в первоначальную стоимость НМА, созданных собственными силами</w:t>
            </w:r>
          </w:p>
        </w:tc>
        <w:tc>
          <w:tcPr>
            <w:tcW w:w="5521" w:type="dxa"/>
          </w:tcPr>
          <w:p w14:paraId="0D2323FE" w14:textId="77777777" w:rsidR="00EC7184" w:rsidRPr="001D2128" w:rsidRDefault="00EC7184" w:rsidP="00C60FD2">
            <w:pPr>
              <w:pStyle w:val="a3"/>
            </w:pPr>
            <w:r w:rsidRPr="001D2128">
              <w:t xml:space="preserve">В отраслевых рекомендациях следует прописать конкретный перечень расходов, </w:t>
            </w:r>
            <w:r w:rsidRPr="001D2128">
              <w:rPr>
                <w:lang w:val="ru-RU"/>
              </w:rPr>
              <w:t xml:space="preserve">которые </w:t>
            </w:r>
            <w:r w:rsidRPr="001D2128">
              <w:t>подлежа</w:t>
            </w:r>
            <w:r w:rsidRPr="001D2128">
              <w:rPr>
                <w:lang w:val="ru-RU"/>
              </w:rPr>
              <w:t>т</w:t>
            </w:r>
            <w:r w:rsidRPr="001D2128">
              <w:t xml:space="preserve"> капитализации на разных этапах создания актива (например, для селекционных достижений – на этапе исследований, полевых испытаний, государственной регистрации).</w:t>
            </w:r>
          </w:p>
        </w:tc>
      </w:tr>
      <w:tr w:rsidR="00EC7184" w:rsidRPr="001D2128" w14:paraId="5A67CD1C" w14:textId="77777777" w:rsidTr="00C60FD2">
        <w:tc>
          <w:tcPr>
            <w:tcW w:w="3823" w:type="dxa"/>
          </w:tcPr>
          <w:p w14:paraId="64A0A1EB" w14:textId="77777777" w:rsidR="00EC7184" w:rsidRPr="001D2128" w:rsidRDefault="00EC7184" w:rsidP="00C60FD2">
            <w:pPr>
              <w:pStyle w:val="a3"/>
            </w:pPr>
            <w:r w:rsidRPr="001D2128">
              <w:rPr>
                <w:lang w:val="ru-RU"/>
              </w:rPr>
              <w:t xml:space="preserve">2. </w:t>
            </w:r>
            <w:r w:rsidRPr="001D2128">
              <w:t>Развивать применение затратного и доходного подходов к оценке в условиях отсутствия активного рынка</w:t>
            </w:r>
          </w:p>
        </w:tc>
        <w:tc>
          <w:tcPr>
            <w:tcW w:w="5521" w:type="dxa"/>
          </w:tcPr>
          <w:p w14:paraId="0170AB49" w14:textId="77777777" w:rsidR="00EC7184" w:rsidRPr="001D2128" w:rsidRDefault="00EC7184" w:rsidP="00C60FD2">
            <w:pPr>
              <w:pStyle w:val="a3"/>
            </w:pPr>
            <w:r w:rsidRPr="001D2128">
              <w:t xml:space="preserve">Для доходного подхода </w:t>
            </w:r>
            <w:r w:rsidRPr="001D2128">
              <w:rPr>
                <w:lang w:val="ru-RU"/>
              </w:rPr>
              <w:t>уместно</w:t>
            </w:r>
            <w:r w:rsidRPr="001D2128">
              <w:t xml:space="preserve"> рекомендовать методики, </w:t>
            </w:r>
            <w:r w:rsidRPr="001D2128">
              <w:rPr>
                <w:lang w:val="ru-RU"/>
              </w:rPr>
              <w:t>которые базируются</w:t>
            </w:r>
            <w:r w:rsidRPr="001D2128">
              <w:t xml:space="preserve"> на прогнозировании дополнительных денежных потоков от использования НМА (например, дополнительная выручка от продажи продукции нового сорта). Затратный </w:t>
            </w:r>
            <w:r w:rsidRPr="001D2128">
              <w:rPr>
                <w:lang w:val="ru-RU"/>
              </w:rPr>
              <w:t>вариант</w:t>
            </w:r>
            <w:r w:rsidRPr="001D2128">
              <w:t xml:space="preserve"> может быть основным для оценки ноу-хау, где стоимость определяется суммой понесенных расходов.</w:t>
            </w:r>
          </w:p>
        </w:tc>
      </w:tr>
      <w:tr w:rsidR="00EC7184" w:rsidRPr="001D2128" w14:paraId="15AE5A2C" w14:textId="77777777" w:rsidTr="00C60FD2">
        <w:tc>
          <w:tcPr>
            <w:tcW w:w="3823" w:type="dxa"/>
          </w:tcPr>
          <w:p w14:paraId="5B3490D9" w14:textId="77777777" w:rsidR="00EC7184" w:rsidRPr="001D2128" w:rsidRDefault="00EC7184" w:rsidP="00C60FD2">
            <w:pPr>
              <w:pStyle w:val="a3"/>
            </w:pPr>
            <w:r w:rsidRPr="001D2128">
              <w:rPr>
                <w:lang w:val="ru-RU"/>
              </w:rPr>
              <w:t xml:space="preserve">3. </w:t>
            </w:r>
            <w:r w:rsidRPr="001D2128">
              <w:t>Ввести в учетную политику обязательный периодический тест на обесценение ключевых нематериальных активов</w:t>
            </w:r>
          </w:p>
        </w:tc>
        <w:tc>
          <w:tcPr>
            <w:tcW w:w="5521" w:type="dxa"/>
          </w:tcPr>
          <w:p w14:paraId="0AA5CCCC" w14:textId="77777777" w:rsidR="00EC7184" w:rsidRPr="001D2128" w:rsidRDefault="00EC7184" w:rsidP="00C60FD2">
            <w:pPr>
              <w:pStyle w:val="a3"/>
            </w:pPr>
            <w:r w:rsidRPr="001D2128">
              <w:rPr>
                <w:lang w:val="ru-RU"/>
              </w:rPr>
              <w:t>Описываемый шаг</w:t>
            </w:r>
            <w:r w:rsidRPr="001D2128">
              <w:t xml:space="preserve"> позволит своевременно корректировать балансовую стоимость в случае утраты первоначальной экономической выгоды (</w:t>
            </w:r>
            <w:r w:rsidRPr="001D2128">
              <w:rPr>
                <w:lang w:val="ru-RU"/>
              </w:rPr>
              <w:t>к примеру</w:t>
            </w:r>
            <w:r w:rsidRPr="001D2128">
              <w:t>, при появлении на рынке более урожайного сорта-конкурента).</w:t>
            </w:r>
          </w:p>
        </w:tc>
      </w:tr>
    </w:tbl>
    <w:p w14:paraId="5CC5F5F7" w14:textId="77777777" w:rsidR="00EC7184" w:rsidRPr="001D2128" w:rsidRDefault="00EC7184" w:rsidP="00EC7184">
      <w:pPr>
        <w:pStyle w:val="a5"/>
      </w:pPr>
    </w:p>
    <w:p w14:paraId="3179F679" w14:textId="77777777" w:rsidR="00EC7184" w:rsidRPr="001D2128" w:rsidRDefault="00EC7184" w:rsidP="00EC7184">
      <w:pPr>
        <w:pStyle w:val="a5"/>
        <w:rPr>
          <w:lang w:val="ru-RU"/>
        </w:rPr>
      </w:pPr>
      <w:r w:rsidRPr="001D2128">
        <w:rPr>
          <w:lang w:val="ru-RU"/>
        </w:rPr>
        <w:t xml:space="preserve">Для более объективного определения срока полезного использования </w:t>
      </w:r>
      <w:r>
        <w:rPr>
          <w:lang w:val="ru-RU"/>
        </w:rPr>
        <w:t>целесообразно</w:t>
      </w:r>
      <w:r w:rsidRPr="001D2128">
        <w:rPr>
          <w:lang w:val="ru-RU"/>
        </w:rPr>
        <w:t xml:space="preserve"> рекомендовать организациям АПК формировать специализированную комиссию, в которую, помимо бухгалтера и экономиста, входили бы агрономы, селекционеры, маркетологи. Этот субъект мог бы дать более квалифицированное заключение о предполагаемом периоде получения экономических выгод от актива, основываясь на следующих факторах:</w:t>
      </w:r>
    </w:p>
    <w:p w14:paraId="2EF14F75" w14:textId="77777777" w:rsidR="00EC7184" w:rsidRPr="001D2128" w:rsidRDefault="00EC7184" w:rsidP="00EC7184">
      <w:pPr>
        <w:pStyle w:val="a5"/>
        <w:rPr>
          <w:lang w:val="ru-RU"/>
        </w:rPr>
      </w:pPr>
      <w:r w:rsidRPr="001D2128">
        <w:rPr>
          <w:lang w:val="ru-RU"/>
        </w:rPr>
        <w:t>- жизненный цикл сорта или технологии;</w:t>
      </w:r>
    </w:p>
    <w:p w14:paraId="7A820AA0" w14:textId="77777777" w:rsidR="00EC7184" w:rsidRPr="001D2128" w:rsidRDefault="00EC7184" w:rsidP="00EC7184">
      <w:pPr>
        <w:pStyle w:val="a5"/>
        <w:rPr>
          <w:lang w:val="ru-RU"/>
        </w:rPr>
      </w:pPr>
      <w:r w:rsidRPr="001D2128">
        <w:rPr>
          <w:lang w:val="ru-RU"/>
        </w:rPr>
        <w:t>- темпы морального износа в отрасли;</w:t>
      </w:r>
    </w:p>
    <w:p w14:paraId="69DE9522" w14:textId="77777777" w:rsidR="00EC7184" w:rsidRPr="001D2128" w:rsidRDefault="00EC7184" w:rsidP="00EC7184">
      <w:pPr>
        <w:pStyle w:val="a5"/>
        <w:rPr>
          <w:lang w:val="ru-RU"/>
        </w:rPr>
      </w:pPr>
      <w:r w:rsidRPr="001D2128">
        <w:rPr>
          <w:lang w:val="ru-RU"/>
        </w:rPr>
        <w:t>- планы компании по дальнейшей модернизации технологических разработок;</w:t>
      </w:r>
    </w:p>
    <w:p w14:paraId="1B0C20AE" w14:textId="77777777" w:rsidR="00EC7184" w:rsidRPr="001D2128" w:rsidRDefault="00EC7184" w:rsidP="00EC7184">
      <w:pPr>
        <w:pStyle w:val="a5"/>
        <w:rPr>
          <w:lang w:val="ru-RU"/>
        </w:rPr>
      </w:pPr>
      <w:r w:rsidRPr="001D2128">
        <w:rPr>
          <w:lang w:val="ru-RU"/>
        </w:rPr>
        <w:t>- срок действия патентов, лицензий.</w:t>
      </w:r>
    </w:p>
    <w:p w14:paraId="3B4E7932" w14:textId="77777777" w:rsidR="00EC7184" w:rsidRPr="001D2128" w:rsidRDefault="00EC7184" w:rsidP="00EC7184">
      <w:pPr>
        <w:pStyle w:val="a5"/>
        <w:rPr>
          <w:lang w:val="ru-RU"/>
        </w:rPr>
      </w:pPr>
      <w:r w:rsidRPr="001D2128">
        <w:rPr>
          <w:lang w:val="ru-RU"/>
        </w:rPr>
        <w:t>В дополнение к отмеченному, стоит деятельнее применять нелинейные способы начисления амортизации, в частности, метод списания стоимости пропорционально объему продукции (работ). Это является наиболее логичным для таких НМА, как права на использование сортов растений, где экономическая отдача напрямую связана с объемами производства.</w:t>
      </w:r>
    </w:p>
    <w:p w14:paraId="4C8C3FAA" w14:textId="77777777" w:rsidR="00EC7184" w:rsidRPr="001D2128" w:rsidRDefault="00EC7184" w:rsidP="00EC7184">
      <w:pPr>
        <w:pStyle w:val="a5"/>
        <w:rPr>
          <w:b/>
          <w:bCs/>
          <w:lang w:val="ru-RU"/>
        </w:rPr>
      </w:pPr>
      <w:r w:rsidRPr="001D2128">
        <w:rPr>
          <w:b/>
          <w:bCs/>
          <w:lang w:val="ru-RU"/>
        </w:rPr>
        <w:lastRenderedPageBreak/>
        <w:t>Заключение</w:t>
      </w:r>
    </w:p>
    <w:p w14:paraId="3B73480E" w14:textId="77777777" w:rsidR="00EC7184" w:rsidRDefault="00EC7184" w:rsidP="00EC7184">
      <w:pPr>
        <w:pStyle w:val="a5"/>
        <w:rPr>
          <w:lang w:val="ru-RU"/>
        </w:rPr>
      </w:pPr>
      <w:r>
        <w:rPr>
          <w:lang w:val="ru-RU"/>
        </w:rPr>
        <w:t>В контексте а</w:t>
      </w:r>
      <w:r w:rsidRPr="000F729F">
        <w:rPr>
          <w:lang w:val="ru-RU"/>
        </w:rPr>
        <w:t>ктуализаци</w:t>
      </w:r>
      <w:r>
        <w:rPr>
          <w:lang w:val="ru-RU"/>
        </w:rPr>
        <w:t>и</w:t>
      </w:r>
      <w:r w:rsidRPr="000F729F">
        <w:rPr>
          <w:lang w:val="ru-RU"/>
        </w:rPr>
        <w:t xml:space="preserve"> учетной политики в части нематериальных активов для организаций АПК </w:t>
      </w:r>
      <w:r>
        <w:rPr>
          <w:lang w:val="ru-RU"/>
        </w:rPr>
        <w:t>следует</w:t>
      </w:r>
      <w:r w:rsidRPr="000F729F">
        <w:rPr>
          <w:lang w:val="ru-RU"/>
        </w:rPr>
        <w:t xml:space="preserve"> учитывать как требования ФСБУ 14/2022, так и отраслевую специфику. Важным направлением является уточнение критериев признания и идентификации активов, особенно тех, что связаны с селекционными достижениями, цифровыми платформами</w:t>
      </w:r>
      <w:r>
        <w:rPr>
          <w:lang w:val="ru-RU"/>
        </w:rPr>
        <w:t>,</w:t>
      </w:r>
      <w:r w:rsidRPr="000F729F">
        <w:rPr>
          <w:lang w:val="ru-RU"/>
        </w:rPr>
        <w:t xml:space="preserve"> программным обеспечением для агротехники. Не менее значима корректировка подходов к оценке, где затратный метод оправдан при создании НМА внутри хозяйства, а доходный — при использовании объектов, приносящих коммерческий эффект. Амортизационная политика требует адаптации сроков полезного использования с учетом сезонности и быстрых инновационных циклов. Дополнительно </w:t>
      </w:r>
      <w:r>
        <w:rPr>
          <w:lang w:val="ru-RU"/>
        </w:rPr>
        <w:t xml:space="preserve">в рамках </w:t>
      </w:r>
      <w:r w:rsidRPr="000F729F">
        <w:rPr>
          <w:lang w:val="ru-RU"/>
        </w:rPr>
        <w:t>учетн</w:t>
      </w:r>
      <w:r>
        <w:rPr>
          <w:lang w:val="ru-RU"/>
        </w:rPr>
        <w:t>ой</w:t>
      </w:r>
      <w:r w:rsidRPr="000F729F">
        <w:rPr>
          <w:lang w:val="ru-RU"/>
        </w:rPr>
        <w:t xml:space="preserve"> политик</w:t>
      </w:r>
      <w:r>
        <w:rPr>
          <w:lang w:val="ru-RU"/>
        </w:rPr>
        <w:t>и</w:t>
      </w:r>
      <w:r w:rsidRPr="000F729F">
        <w:rPr>
          <w:lang w:val="ru-RU"/>
        </w:rPr>
        <w:t xml:space="preserve"> </w:t>
      </w:r>
      <w:r>
        <w:rPr>
          <w:lang w:val="ru-RU"/>
        </w:rPr>
        <w:t>важно</w:t>
      </w:r>
      <w:r w:rsidRPr="000F729F">
        <w:rPr>
          <w:lang w:val="ru-RU"/>
        </w:rPr>
        <w:t xml:space="preserve"> регламентировать порядок отражения государственной поддержки и субсидий, </w:t>
      </w:r>
      <w:r>
        <w:rPr>
          <w:lang w:val="ru-RU"/>
        </w:rPr>
        <w:t xml:space="preserve">которые </w:t>
      </w:r>
      <w:r w:rsidRPr="000F729F">
        <w:rPr>
          <w:lang w:val="ru-RU"/>
        </w:rPr>
        <w:t xml:space="preserve">направлены на формирование НМА, а также учитывать особенности цифровизации, </w:t>
      </w:r>
      <w:r>
        <w:rPr>
          <w:lang w:val="ru-RU"/>
        </w:rPr>
        <w:t>в том числе,</w:t>
      </w:r>
      <w:r w:rsidRPr="000F729F">
        <w:rPr>
          <w:lang w:val="ru-RU"/>
        </w:rPr>
        <w:t xml:space="preserve"> документирование прав на цифровые активы и раскрытие информации о них в отчетности. Всё это позволяет повысить прозрачность</w:t>
      </w:r>
      <w:r>
        <w:rPr>
          <w:lang w:val="ru-RU"/>
        </w:rPr>
        <w:t>,</w:t>
      </w:r>
      <w:r w:rsidRPr="000F729F">
        <w:rPr>
          <w:lang w:val="ru-RU"/>
        </w:rPr>
        <w:t xml:space="preserve"> управленческую значимость учета НМА в </w:t>
      </w:r>
      <w:r>
        <w:rPr>
          <w:lang w:val="ru-RU"/>
        </w:rPr>
        <w:t>исследуемой</w:t>
      </w:r>
      <w:r w:rsidRPr="000F729F">
        <w:rPr>
          <w:lang w:val="ru-RU"/>
        </w:rPr>
        <w:t xml:space="preserve"> сфере.</w:t>
      </w:r>
    </w:p>
    <w:p w14:paraId="50A01F1F" w14:textId="77777777" w:rsidR="00EC7184" w:rsidRPr="001D2128" w:rsidRDefault="00EC7184" w:rsidP="00EC7184">
      <w:pPr>
        <w:pStyle w:val="a5"/>
        <w:rPr>
          <w:lang w:val="ru-RU"/>
        </w:rPr>
      </w:pPr>
      <w:r w:rsidRPr="001D2128">
        <w:rPr>
          <w:lang w:val="ru-RU"/>
        </w:rPr>
        <w:t>Совершенствование методики бухгалтерского учета нематериальных активов в агропромышленном комплексе является насущной необходимостью, которая продиктована современными хозяйственными реалиями. Предложенные в данной статье направления, представленные разработкой отраслевых рекомендаций, уточнением подходов к оценке и амортизации, призваны повысить качество и достоверность информации, формируемой в системе бухучета.</w:t>
      </w:r>
    </w:p>
    <w:p w14:paraId="29D6C087" w14:textId="77777777" w:rsidR="00EC7184" w:rsidRPr="001D2128" w:rsidRDefault="00EC7184" w:rsidP="00EC7184">
      <w:pPr>
        <w:pStyle w:val="a5"/>
        <w:rPr>
          <w:lang w:val="ru-RU"/>
        </w:rPr>
      </w:pPr>
      <w:r w:rsidRPr="001D2128">
        <w:rPr>
          <w:lang w:val="ru-RU"/>
        </w:rPr>
        <w:t>Реализация сформулированных предложений позволит аграрным субъектам хозяйствования:</w:t>
      </w:r>
    </w:p>
    <w:p w14:paraId="2EA4D3D6" w14:textId="77777777" w:rsidR="00EC7184" w:rsidRPr="001D2128" w:rsidRDefault="00EC7184" w:rsidP="00EC7184">
      <w:pPr>
        <w:pStyle w:val="a5"/>
        <w:rPr>
          <w:lang w:val="ru-RU"/>
        </w:rPr>
      </w:pPr>
      <w:r w:rsidRPr="001D2128">
        <w:rPr>
          <w:lang w:val="ru-RU"/>
        </w:rPr>
        <w:t>- получить более объективное представление о структуре и стоимости своих активов;</w:t>
      </w:r>
    </w:p>
    <w:p w14:paraId="045F7597" w14:textId="77777777" w:rsidR="00EC7184" w:rsidRPr="001D2128" w:rsidRDefault="00EC7184" w:rsidP="00EC7184">
      <w:pPr>
        <w:pStyle w:val="a5"/>
        <w:rPr>
          <w:lang w:val="ru-RU"/>
        </w:rPr>
      </w:pPr>
      <w:r w:rsidRPr="001D2128">
        <w:rPr>
          <w:lang w:val="ru-RU"/>
        </w:rPr>
        <w:lastRenderedPageBreak/>
        <w:t>- повысить эффективность управления интеллектуальной собственностью;</w:t>
      </w:r>
    </w:p>
    <w:p w14:paraId="5D2EC1D9" w14:textId="77777777" w:rsidR="00EC7184" w:rsidRPr="001D2128" w:rsidRDefault="00EC7184" w:rsidP="00EC7184">
      <w:pPr>
        <w:pStyle w:val="a5"/>
        <w:rPr>
          <w:lang w:val="ru-RU"/>
        </w:rPr>
      </w:pPr>
      <w:r w:rsidRPr="001D2128">
        <w:rPr>
          <w:lang w:val="ru-RU"/>
        </w:rPr>
        <w:t>- увеличить свою инвестиционную привлекательность за счет более прозрачной и полной финансовой отчетности.</w:t>
      </w:r>
    </w:p>
    <w:p w14:paraId="65CF912C" w14:textId="77777777" w:rsidR="00EC7184" w:rsidRDefault="00EC7184" w:rsidP="00EC7184">
      <w:pPr>
        <w:pStyle w:val="a5"/>
        <w:rPr>
          <w:lang w:val="ru-RU"/>
        </w:rPr>
      </w:pPr>
      <w:r w:rsidRPr="001D2128">
        <w:rPr>
          <w:lang w:val="ru-RU"/>
        </w:rPr>
        <w:t>С авторской точки зрения, внедрение предложенных изменений потребует определенных усилий со стороны как регулирующих органов (в части разработки отраслевых стандартов), так и самих организаций (относительно пересмотра учетной политики, повышения квалификации персонала). Между тем, можно с уверенностью утверждать, что экономический эффект от обозначенных нововведений значительно превысит затраты на их реализацию, способствуя инновационному развитию всего агропромышленного комплекса.</w:t>
      </w:r>
    </w:p>
    <w:p w14:paraId="6701420A" w14:textId="77777777" w:rsidR="00EC7184" w:rsidRDefault="00EC7184" w:rsidP="00EC7184">
      <w:pPr>
        <w:pStyle w:val="a5"/>
        <w:rPr>
          <w:lang w:val="ru-RU"/>
        </w:rPr>
      </w:pPr>
    </w:p>
    <w:p w14:paraId="364F598B" w14:textId="77777777" w:rsidR="00EC7184" w:rsidRDefault="00EC7184" w:rsidP="00EC7184">
      <w:pPr>
        <w:pStyle w:val="a5"/>
        <w:rPr>
          <w:lang w:val="ru-RU"/>
        </w:rPr>
      </w:pPr>
    </w:p>
    <w:p w14:paraId="1D2AF028" w14:textId="77777777" w:rsidR="00EC7184" w:rsidRDefault="00EC7184" w:rsidP="00EC7184">
      <w:pPr>
        <w:pStyle w:val="a5"/>
        <w:rPr>
          <w:lang w:val="ru-RU"/>
        </w:rPr>
      </w:pPr>
    </w:p>
    <w:p w14:paraId="134BED06" w14:textId="77777777" w:rsidR="00EC7184" w:rsidRDefault="00EC7184" w:rsidP="00EC7184">
      <w:pPr>
        <w:pStyle w:val="a5"/>
        <w:rPr>
          <w:lang w:val="ru-RU"/>
        </w:rPr>
      </w:pPr>
    </w:p>
    <w:p w14:paraId="62D0C563" w14:textId="77777777" w:rsidR="00EC7184" w:rsidRDefault="00EC7184" w:rsidP="00EC7184">
      <w:pPr>
        <w:pStyle w:val="a5"/>
        <w:rPr>
          <w:lang w:val="ru-RU"/>
        </w:rPr>
      </w:pPr>
    </w:p>
    <w:p w14:paraId="7E31485E" w14:textId="77777777" w:rsidR="00EC7184" w:rsidRDefault="00EC7184" w:rsidP="00EC7184">
      <w:pPr>
        <w:pStyle w:val="a5"/>
        <w:rPr>
          <w:lang w:val="ru-RU"/>
        </w:rPr>
      </w:pPr>
    </w:p>
    <w:p w14:paraId="43B24372" w14:textId="77777777" w:rsidR="00EC7184" w:rsidRDefault="00EC7184" w:rsidP="00EC7184">
      <w:pPr>
        <w:pStyle w:val="a5"/>
        <w:rPr>
          <w:lang w:val="ru-RU"/>
        </w:rPr>
      </w:pPr>
    </w:p>
    <w:p w14:paraId="28D24BA6" w14:textId="77777777" w:rsidR="00EC7184" w:rsidRDefault="00EC7184" w:rsidP="00EC7184">
      <w:pPr>
        <w:pStyle w:val="a5"/>
        <w:rPr>
          <w:lang w:val="ru-RU"/>
        </w:rPr>
      </w:pPr>
    </w:p>
    <w:p w14:paraId="26ACF3FA" w14:textId="77777777" w:rsidR="00EC7184" w:rsidRDefault="00EC7184" w:rsidP="00EC7184">
      <w:pPr>
        <w:pStyle w:val="a5"/>
        <w:rPr>
          <w:lang w:val="ru-RU"/>
        </w:rPr>
      </w:pPr>
    </w:p>
    <w:p w14:paraId="54187B09" w14:textId="77777777" w:rsidR="00EC7184" w:rsidRDefault="00EC7184" w:rsidP="00EC7184">
      <w:pPr>
        <w:pStyle w:val="a5"/>
        <w:rPr>
          <w:lang w:val="ru-RU"/>
        </w:rPr>
      </w:pPr>
    </w:p>
    <w:p w14:paraId="4A34F178" w14:textId="77777777" w:rsidR="00EC7184" w:rsidRDefault="00EC7184" w:rsidP="00EC7184">
      <w:pPr>
        <w:pStyle w:val="a5"/>
        <w:rPr>
          <w:lang w:val="ru-RU"/>
        </w:rPr>
      </w:pPr>
    </w:p>
    <w:p w14:paraId="6C206354" w14:textId="77777777" w:rsidR="00EC7184" w:rsidRDefault="00EC7184" w:rsidP="00EC7184">
      <w:pPr>
        <w:pStyle w:val="a5"/>
        <w:rPr>
          <w:lang w:val="ru-RU"/>
        </w:rPr>
      </w:pPr>
    </w:p>
    <w:p w14:paraId="318F8C72" w14:textId="77777777" w:rsidR="00EC7184" w:rsidRDefault="00EC7184" w:rsidP="00EC7184">
      <w:pPr>
        <w:pStyle w:val="a5"/>
        <w:rPr>
          <w:lang w:val="ru-RU"/>
        </w:rPr>
      </w:pPr>
    </w:p>
    <w:p w14:paraId="6B0BBFDD" w14:textId="77777777" w:rsidR="00EC7184" w:rsidRDefault="00EC7184" w:rsidP="00EC7184">
      <w:pPr>
        <w:pStyle w:val="a5"/>
        <w:rPr>
          <w:lang w:val="ru-RU"/>
        </w:rPr>
      </w:pPr>
    </w:p>
    <w:p w14:paraId="3CCC61F1" w14:textId="77777777" w:rsidR="00EC7184" w:rsidRPr="001D2128" w:rsidRDefault="00EC7184" w:rsidP="00EC7184">
      <w:pPr>
        <w:pStyle w:val="a5"/>
        <w:rPr>
          <w:lang w:val="ru-RU"/>
        </w:rPr>
      </w:pPr>
    </w:p>
    <w:p w14:paraId="07D640AF" w14:textId="77777777" w:rsidR="00EC7184" w:rsidRDefault="00EC7184" w:rsidP="00EC7184">
      <w:pPr>
        <w:pStyle w:val="a5"/>
        <w:rPr>
          <w:lang w:val="ru-RU"/>
        </w:rPr>
      </w:pPr>
    </w:p>
    <w:p w14:paraId="417C1CCA" w14:textId="77777777" w:rsidR="00EC7184" w:rsidRDefault="00EC7184" w:rsidP="00EC7184">
      <w:pPr>
        <w:pStyle w:val="a5"/>
        <w:rPr>
          <w:lang w:val="ru-RU"/>
        </w:rPr>
      </w:pPr>
    </w:p>
    <w:p w14:paraId="51695975" w14:textId="77777777" w:rsidR="00EC7184" w:rsidRDefault="00EC7184" w:rsidP="00EC7184">
      <w:pPr>
        <w:pStyle w:val="a5"/>
        <w:rPr>
          <w:lang w:val="ru-RU"/>
        </w:rPr>
      </w:pPr>
    </w:p>
    <w:p w14:paraId="5199C2CE" w14:textId="77777777" w:rsidR="00EC7184" w:rsidRPr="001D2128" w:rsidRDefault="00EC7184" w:rsidP="00EC7184">
      <w:pPr>
        <w:pStyle w:val="a5"/>
        <w:rPr>
          <w:b/>
          <w:bCs/>
          <w:lang w:val="ru-RU"/>
        </w:rPr>
      </w:pPr>
      <w:r w:rsidRPr="001D2128">
        <w:rPr>
          <w:b/>
          <w:bCs/>
          <w:lang w:val="ru-RU"/>
        </w:rPr>
        <w:lastRenderedPageBreak/>
        <w:t>Список литературы</w:t>
      </w:r>
    </w:p>
    <w:p w14:paraId="12D348DB" w14:textId="77777777" w:rsidR="00EC7184" w:rsidRPr="001D2128" w:rsidRDefault="00EC7184" w:rsidP="00EC7184">
      <w:pPr>
        <w:pStyle w:val="a5"/>
        <w:rPr>
          <w:lang w:val="ru-RU"/>
        </w:rPr>
      </w:pPr>
      <w:bookmarkStart w:id="1" w:name="_Hlk209186549"/>
      <w:r w:rsidRPr="001D2128">
        <w:rPr>
          <w:lang w:val="ru-RU"/>
        </w:rPr>
        <w:t>1. Бутова В.А. Бухгалтерский учет нематериальных активов в организациях АПК в современных условиях // PER ASPERA AD ASTRA – ЧЕРЕЗ ТЕРНИИ К ЗВЕЗДАМ. Сборник научных статей. – Ставрополь: 2023. – С. 103-108.</w:t>
      </w:r>
    </w:p>
    <w:p w14:paraId="4E9EC23D" w14:textId="77777777" w:rsidR="00EC7184" w:rsidRPr="001D2128" w:rsidRDefault="00EC7184" w:rsidP="00EC7184">
      <w:pPr>
        <w:pStyle w:val="a5"/>
        <w:rPr>
          <w:lang w:val="ru-RU"/>
        </w:rPr>
      </w:pPr>
      <w:r w:rsidRPr="001D2128">
        <w:rPr>
          <w:lang w:val="ru-RU"/>
        </w:rPr>
        <w:t>2. Голова Е.Е. ФСБУ 14/2022 «Нематериальные активы»: новое в бухгалтерском учете // Экономика и бизнес: теория и практика. – 2024. – № 4-1 (110). – С. 145-148.</w:t>
      </w:r>
    </w:p>
    <w:p w14:paraId="3B8E7F58" w14:textId="77777777" w:rsidR="00EC7184" w:rsidRPr="001D2128" w:rsidRDefault="00EC7184" w:rsidP="00EC7184">
      <w:pPr>
        <w:pStyle w:val="a5"/>
        <w:rPr>
          <w:lang w:val="ru-RU"/>
        </w:rPr>
      </w:pPr>
      <w:r w:rsidRPr="001D2128">
        <w:rPr>
          <w:lang w:val="ru-RU"/>
        </w:rPr>
        <w:t>3. Гудков С.В., Тарасенко А.Л. Совершенствование методики бухгалтерского учета амортизации нематериальных активов в организациях АПК // Вестник Белорусской государственной сельскохозяйственной академии. – 2020. – № 2. – С. 38-42.</w:t>
      </w:r>
    </w:p>
    <w:p w14:paraId="64B81CFF" w14:textId="77777777" w:rsidR="00EC7184" w:rsidRPr="001D2128" w:rsidRDefault="00EC7184" w:rsidP="00EC7184">
      <w:pPr>
        <w:pStyle w:val="a5"/>
        <w:rPr>
          <w:lang w:val="ru-RU"/>
        </w:rPr>
      </w:pPr>
      <w:r w:rsidRPr="001D2128">
        <w:rPr>
          <w:lang w:val="ru-RU"/>
        </w:rPr>
        <w:t>4. Дегтярев А.В. Методы оценки нематериальных активов в условиях цифровой экономики // Корпоративное управление и инновационное развитие экономики Севера: Вестник Научно-исследовательского центра корпоративного права, управления и венчурного инвестирования Сыктывкарского государственного университета. – 2022. – Т. 2. – № 2. – С. 256-262.</w:t>
      </w:r>
    </w:p>
    <w:p w14:paraId="063D4E2A" w14:textId="77777777" w:rsidR="00EC7184" w:rsidRPr="001D2128" w:rsidRDefault="00EC7184" w:rsidP="00EC7184">
      <w:pPr>
        <w:pStyle w:val="a5"/>
        <w:rPr>
          <w:lang w:val="ru-RU"/>
        </w:rPr>
      </w:pPr>
      <w:r w:rsidRPr="001D2128">
        <w:rPr>
          <w:lang w:val="ru-RU"/>
        </w:rPr>
        <w:t>5. Лазарева В.Л. Совершенствование системы бухгалтерского учета субъекта АПК // Молодые аграрии. Материалы региональной научно-практической конференции. – Волгоград: 2025. – С. 188-190.</w:t>
      </w:r>
    </w:p>
    <w:p w14:paraId="78EC4778" w14:textId="77777777" w:rsidR="00EC7184" w:rsidRPr="001D2128" w:rsidRDefault="00EC7184" w:rsidP="00EC7184">
      <w:pPr>
        <w:pStyle w:val="a5"/>
        <w:rPr>
          <w:lang w:val="ru-RU"/>
        </w:rPr>
      </w:pPr>
      <w:r w:rsidRPr="001D2128">
        <w:rPr>
          <w:lang w:val="ru-RU"/>
        </w:rPr>
        <w:t>6. Лосева А.С., Акиндинов В.В., Лосева А.Е., Акиндинов К.В. Учётная политика и её влияние на показатели эффективности деятельности организаций АПК // Старт в науке – 2025. Сборник статей Международного научно-исследовательского конкурса. – Петрозаводск: 2025. – С. 8-14.</w:t>
      </w:r>
    </w:p>
    <w:p w14:paraId="1B7EB8DD" w14:textId="77777777" w:rsidR="00EC7184" w:rsidRPr="001D2128" w:rsidRDefault="00EC7184" w:rsidP="00EC7184">
      <w:pPr>
        <w:pStyle w:val="a5"/>
        <w:rPr>
          <w:lang w:val="ru-RU"/>
        </w:rPr>
      </w:pPr>
      <w:r w:rsidRPr="001D2128">
        <w:rPr>
          <w:lang w:val="ru-RU"/>
        </w:rPr>
        <w:t xml:space="preserve">7. Макаров И.Н., Корнева Г.В., Мещеряков С.А., Диденко О.В., </w:t>
      </w:r>
      <w:proofErr w:type="spellStart"/>
      <w:r w:rsidRPr="001D2128">
        <w:rPr>
          <w:lang w:val="ru-RU"/>
        </w:rPr>
        <w:t>Бесланеева</w:t>
      </w:r>
      <w:proofErr w:type="spellEnd"/>
      <w:r w:rsidRPr="001D2128">
        <w:rPr>
          <w:lang w:val="ru-RU"/>
        </w:rPr>
        <w:t xml:space="preserve"> З.Л. Порядок бухгалтерского учета нематериальных активов по ФСБУ 14/2022 // Экономика и управление: проблемы, решения. – 2024. – Т. 12. – № 11 (152). – С. 147-160.</w:t>
      </w:r>
    </w:p>
    <w:p w14:paraId="6786A9E9" w14:textId="77777777" w:rsidR="00EC7184" w:rsidRPr="001D2128" w:rsidRDefault="00EC7184" w:rsidP="00EC7184">
      <w:pPr>
        <w:pStyle w:val="a5"/>
        <w:rPr>
          <w:lang w:val="ru-RU"/>
        </w:rPr>
      </w:pPr>
      <w:r w:rsidRPr="001D2128">
        <w:rPr>
          <w:lang w:val="ru-RU"/>
        </w:rPr>
        <w:lastRenderedPageBreak/>
        <w:t xml:space="preserve">8. </w:t>
      </w:r>
      <w:proofErr w:type="spellStart"/>
      <w:r w:rsidRPr="001D2128">
        <w:rPr>
          <w:lang w:val="ru-RU"/>
        </w:rPr>
        <w:t>Мулхм</w:t>
      </w:r>
      <w:proofErr w:type="spellEnd"/>
      <w:r w:rsidRPr="001D2128">
        <w:rPr>
          <w:lang w:val="ru-RU"/>
        </w:rPr>
        <w:t xml:space="preserve"> Р. Организационные компоненты учетно-аналитического обеспечения деятельности в аграрной сфере // Экономика устойчивого развития. – 2024. – № 4 (60). – С. 105-108.</w:t>
      </w:r>
    </w:p>
    <w:p w14:paraId="34312F41" w14:textId="77777777" w:rsidR="00EC7184" w:rsidRPr="001D2128" w:rsidRDefault="00EC7184" w:rsidP="00EC7184">
      <w:pPr>
        <w:pStyle w:val="a5"/>
        <w:rPr>
          <w:lang w:val="ru-RU"/>
        </w:rPr>
      </w:pPr>
      <w:r w:rsidRPr="001D2128">
        <w:rPr>
          <w:lang w:val="ru-RU"/>
        </w:rPr>
        <w:t>9. Поленова С.Н. Некоторые вопросы трансформации бухгалтерского учета нематериальных активов // Аудитор. – 2024. – Т. 10. – № 10. – С. 10-15.</w:t>
      </w:r>
    </w:p>
    <w:p w14:paraId="5DEEA1C2" w14:textId="77777777" w:rsidR="00EC7184" w:rsidRPr="001D2128" w:rsidRDefault="00EC7184" w:rsidP="00EC7184">
      <w:pPr>
        <w:pStyle w:val="a5"/>
        <w:rPr>
          <w:lang w:val="ru-RU"/>
        </w:rPr>
      </w:pPr>
      <w:r w:rsidRPr="001D2128">
        <w:rPr>
          <w:lang w:val="ru-RU"/>
        </w:rPr>
        <w:t>10. Полухина С.А., Свириденков К.А. Новации законодательства в бухгалтерском учете нематериальных активов // Экономические и социально-гуманитарные исследования. – 2024. – № 4 (44). – С. 49-54.</w:t>
      </w:r>
    </w:p>
    <w:p w14:paraId="26C084D1" w14:textId="77777777" w:rsidR="00EC7184" w:rsidRPr="001D2128" w:rsidRDefault="00EC7184" w:rsidP="00EC7184">
      <w:pPr>
        <w:pStyle w:val="a5"/>
        <w:rPr>
          <w:lang w:val="ru-RU"/>
        </w:rPr>
      </w:pPr>
      <w:r w:rsidRPr="001D2128">
        <w:rPr>
          <w:lang w:val="ru-RU"/>
        </w:rPr>
        <w:t xml:space="preserve">11. Тищенко И.А., </w:t>
      </w:r>
      <w:proofErr w:type="spellStart"/>
      <w:r w:rsidRPr="001D2128">
        <w:rPr>
          <w:lang w:val="ru-RU"/>
        </w:rPr>
        <w:t>Мусипова</w:t>
      </w:r>
      <w:proofErr w:type="spellEnd"/>
      <w:r w:rsidRPr="001D2128">
        <w:rPr>
          <w:lang w:val="ru-RU"/>
        </w:rPr>
        <w:t xml:space="preserve"> Л.К. Актуальные вопросы бухгалтерского учета нематериальных активов // Экономические и гуманитарные науки. – 2024. – № 7 (390). – С. 26-34.</w:t>
      </w:r>
    </w:p>
    <w:bookmarkEnd w:id="1"/>
    <w:p w14:paraId="42B40AA3" w14:textId="77777777" w:rsidR="00EC7184" w:rsidRPr="001D2128" w:rsidRDefault="00EC7184" w:rsidP="00EC7184">
      <w:pPr>
        <w:pStyle w:val="a5"/>
        <w:rPr>
          <w:lang w:val="ru-RU"/>
        </w:rPr>
      </w:pPr>
    </w:p>
    <w:p w14:paraId="1008D859" w14:textId="77777777" w:rsidR="00EC7184" w:rsidRPr="001D2128" w:rsidRDefault="00EC7184" w:rsidP="00EC7184">
      <w:pPr>
        <w:pStyle w:val="a5"/>
        <w:rPr>
          <w:b/>
          <w:bCs/>
          <w:lang w:val="en-US"/>
        </w:rPr>
      </w:pPr>
      <w:r w:rsidRPr="001D2128">
        <w:rPr>
          <w:b/>
          <w:bCs/>
          <w:lang w:val="en-US"/>
        </w:rPr>
        <w:t>References</w:t>
      </w:r>
    </w:p>
    <w:p w14:paraId="3E608C99" w14:textId="77777777" w:rsidR="00EC7184" w:rsidRPr="001D2128" w:rsidRDefault="00EC7184" w:rsidP="00EC7184">
      <w:pPr>
        <w:pStyle w:val="a5"/>
        <w:rPr>
          <w:lang w:val="en-US"/>
        </w:rPr>
      </w:pPr>
      <w:r w:rsidRPr="001D2128">
        <w:rPr>
          <w:lang w:val="en-US"/>
        </w:rPr>
        <w:t xml:space="preserve">1. </w:t>
      </w:r>
      <w:proofErr w:type="spellStart"/>
      <w:r w:rsidRPr="001D2128">
        <w:rPr>
          <w:lang w:val="en-US"/>
        </w:rPr>
        <w:t>Butova</w:t>
      </w:r>
      <w:proofErr w:type="spellEnd"/>
      <w:r w:rsidRPr="001D2128">
        <w:rPr>
          <w:lang w:val="en-US"/>
        </w:rPr>
        <w:t xml:space="preserve"> V.A. Accounting for Intangible Assets in Agricultural Organizations in Modern Conditions // PER ASPERA AD ASTRA – THROUGH THORNS TO THE STARS. Collection of Scientific Articles. – Stavropol: 2023. – Pp. 103-108.</w:t>
      </w:r>
    </w:p>
    <w:p w14:paraId="18FEA140" w14:textId="77777777" w:rsidR="00EC7184" w:rsidRPr="001D2128" w:rsidRDefault="00EC7184" w:rsidP="00EC7184">
      <w:pPr>
        <w:pStyle w:val="a5"/>
        <w:rPr>
          <w:lang w:val="en-US"/>
        </w:rPr>
      </w:pPr>
      <w:r w:rsidRPr="001D2128">
        <w:rPr>
          <w:lang w:val="en-US"/>
        </w:rPr>
        <w:t xml:space="preserve">2. </w:t>
      </w:r>
      <w:proofErr w:type="spellStart"/>
      <w:r w:rsidRPr="001D2128">
        <w:rPr>
          <w:lang w:val="en-US"/>
        </w:rPr>
        <w:t>Golova</w:t>
      </w:r>
      <w:proofErr w:type="spellEnd"/>
      <w:r w:rsidRPr="001D2128">
        <w:rPr>
          <w:lang w:val="en-US"/>
        </w:rPr>
        <w:t xml:space="preserve"> E.E. FSBU 14/2022 "Intangible Assets": New in Accounting // Economics and Business: Theory and Practice. – 2024. – No. 4-1 (110). – Pp. 145-148.</w:t>
      </w:r>
    </w:p>
    <w:p w14:paraId="7B7CDBA7" w14:textId="77777777" w:rsidR="00EC7184" w:rsidRPr="001D2128" w:rsidRDefault="00EC7184" w:rsidP="00EC7184">
      <w:pPr>
        <w:pStyle w:val="a5"/>
        <w:rPr>
          <w:lang w:val="en-US"/>
        </w:rPr>
      </w:pPr>
      <w:r w:rsidRPr="001D2128">
        <w:rPr>
          <w:lang w:val="en-US"/>
        </w:rPr>
        <w:t>3. Gudkov S.V., Tarasenko A.L. Improving the Methodology of Accounting for Depreciation of Intangible Assets in Agricultural Organizations // Bulletin of the Belarusian State Agricultural Academy. – 2020. – No. 2. – Pp. 38-42.</w:t>
      </w:r>
    </w:p>
    <w:p w14:paraId="000399D8" w14:textId="77777777" w:rsidR="00EC7184" w:rsidRPr="001D2128" w:rsidRDefault="00EC7184" w:rsidP="00EC7184">
      <w:pPr>
        <w:pStyle w:val="a5"/>
        <w:rPr>
          <w:lang w:val="en-US"/>
        </w:rPr>
      </w:pPr>
      <w:r w:rsidRPr="001D2128">
        <w:rPr>
          <w:lang w:val="en-US"/>
        </w:rPr>
        <w:t xml:space="preserve">4. </w:t>
      </w:r>
      <w:proofErr w:type="spellStart"/>
      <w:r w:rsidRPr="001D2128">
        <w:rPr>
          <w:lang w:val="en-US"/>
        </w:rPr>
        <w:t>Degtyarev</w:t>
      </w:r>
      <w:proofErr w:type="spellEnd"/>
      <w:r w:rsidRPr="001D2128">
        <w:rPr>
          <w:lang w:val="en-US"/>
        </w:rPr>
        <w:t xml:space="preserve"> A.V. Methods of Valuing Intangible Assets in the Digital Economy // Corporate Management and Innovative Development of the Northern Economy: Bulletin of the Research Center for Corporate Law, Management, and Venture Investment at Syktyvkar State University. – 2022. – Vol. 2. – No. 2. – Pp. 256-262.</w:t>
      </w:r>
    </w:p>
    <w:p w14:paraId="2531B6D5" w14:textId="77777777" w:rsidR="00EC7184" w:rsidRPr="001D2128" w:rsidRDefault="00EC7184" w:rsidP="00EC7184">
      <w:pPr>
        <w:pStyle w:val="a5"/>
        <w:rPr>
          <w:lang w:val="en-US"/>
        </w:rPr>
      </w:pPr>
      <w:r w:rsidRPr="001D2128">
        <w:rPr>
          <w:lang w:val="en-US"/>
        </w:rPr>
        <w:lastRenderedPageBreak/>
        <w:t xml:space="preserve">5. </w:t>
      </w:r>
      <w:proofErr w:type="spellStart"/>
      <w:r w:rsidRPr="001D2128">
        <w:rPr>
          <w:lang w:val="en-US"/>
        </w:rPr>
        <w:t>Lazareva</w:t>
      </w:r>
      <w:proofErr w:type="spellEnd"/>
      <w:r w:rsidRPr="001D2128">
        <w:rPr>
          <w:lang w:val="en-US"/>
        </w:rPr>
        <w:t xml:space="preserve"> V.L. Improving the Accounting System of an Agricultural Enterprise // Young Farmers. Proceedings of the Regional Scientific and Practical Conference. – Volgograd: 2025. – Pp. 188-190.</w:t>
      </w:r>
    </w:p>
    <w:p w14:paraId="7F3FC82B" w14:textId="77777777" w:rsidR="00EC7184" w:rsidRPr="001D2128" w:rsidRDefault="00EC7184" w:rsidP="00EC7184">
      <w:pPr>
        <w:pStyle w:val="a5"/>
        <w:rPr>
          <w:lang w:val="en-US"/>
        </w:rPr>
      </w:pPr>
      <w:r w:rsidRPr="001D2128">
        <w:rPr>
          <w:lang w:val="en-US"/>
        </w:rPr>
        <w:t xml:space="preserve">6. </w:t>
      </w:r>
      <w:proofErr w:type="spellStart"/>
      <w:r w:rsidRPr="001D2128">
        <w:rPr>
          <w:lang w:val="en-US"/>
        </w:rPr>
        <w:t>Loseva</w:t>
      </w:r>
      <w:proofErr w:type="spellEnd"/>
      <w:r w:rsidRPr="001D2128">
        <w:rPr>
          <w:lang w:val="en-US"/>
        </w:rPr>
        <w:t xml:space="preserve"> A.S., </w:t>
      </w:r>
      <w:proofErr w:type="spellStart"/>
      <w:r w:rsidRPr="001D2128">
        <w:rPr>
          <w:lang w:val="en-US"/>
        </w:rPr>
        <w:t>Akindinov</w:t>
      </w:r>
      <w:proofErr w:type="spellEnd"/>
      <w:r w:rsidRPr="001D2128">
        <w:rPr>
          <w:lang w:val="en-US"/>
        </w:rPr>
        <w:t xml:space="preserve"> V.V., </w:t>
      </w:r>
      <w:proofErr w:type="spellStart"/>
      <w:r w:rsidRPr="001D2128">
        <w:rPr>
          <w:lang w:val="en-US"/>
        </w:rPr>
        <w:t>Loseva</w:t>
      </w:r>
      <w:proofErr w:type="spellEnd"/>
      <w:r w:rsidRPr="001D2128">
        <w:rPr>
          <w:lang w:val="en-US"/>
        </w:rPr>
        <w:t xml:space="preserve"> A.E., </w:t>
      </w:r>
      <w:proofErr w:type="spellStart"/>
      <w:r w:rsidRPr="001D2128">
        <w:rPr>
          <w:lang w:val="en-US"/>
        </w:rPr>
        <w:t>Akindinov</w:t>
      </w:r>
      <w:proofErr w:type="spellEnd"/>
      <w:r w:rsidRPr="001D2128">
        <w:rPr>
          <w:lang w:val="en-US"/>
        </w:rPr>
        <w:t xml:space="preserve"> K.V. Accounting Policy and Its Impact on the Performance Indicators of Agricultural Organizations // Start in Science – 2025. Collection of Articles from the International Research Competition. – Petrozavodsk: 2025. – Pp. 8-14.</w:t>
      </w:r>
    </w:p>
    <w:p w14:paraId="4CEF0987" w14:textId="77777777" w:rsidR="00EC7184" w:rsidRPr="001D2128" w:rsidRDefault="00EC7184" w:rsidP="00EC7184">
      <w:pPr>
        <w:pStyle w:val="a5"/>
        <w:rPr>
          <w:lang w:val="en-US"/>
        </w:rPr>
      </w:pPr>
      <w:r w:rsidRPr="001D2128">
        <w:rPr>
          <w:lang w:val="en-US"/>
        </w:rPr>
        <w:t xml:space="preserve">7. Makarov I.N., </w:t>
      </w:r>
      <w:proofErr w:type="spellStart"/>
      <w:r w:rsidRPr="001D2128">
        <w:rPr>
          <w:lang w:val="en-US"/>
        </w:rPr>
        <w:t>Korneva</w:t>
      </w:r>
      <w:proofErr w:type="spellEnd"/>
      <w:r w:rsidRPr="001D2128">
        <w:rPr>
          <w:lang w:val="en-US"/>
        </w:rPr>
        <w:t xml:space="preserve"> G.V., </w:t>
      </w:r>
      <w:proofErr w:type="spellStart"/>
      <w:r w:rsidRPr="001D2128">
        <w:rPr>
          <w:lang w:val="en-US"/>
        </w:rPr>
        <w:t>Meshcheryakov</w:t>
      </w:r>
      <w:proofErr w:type="spellEnd"/>
      <w:r w:rsidRPr="001D2128">
        <w:rPr>
          <w:lang w:val="en-US"/>
        </w:rPr>
        <w:t xml:space="preserve"> S.A., </w:t>
      </w:r>
      <w:proofErr w:type="spellStart"/>
      <w:r w:rsidRPr="001D2128">
        <w:rPr>
          <w:lang w:val="en-US"/>
        </w:rPr>
        <w:t>Didenko</w:t>
      </w:r>
      <w:proofErr w:type="spellEnd"/>
      <w:r w:rsidRPr="001D2128">
        <w:rPr>
          <w:lang w:val="en-US"/>
        </w:rPr>
        <w:t xml:space="preserve"> O.V., </w:t>
      </w:r>
      <w:proofErr w:type="spellStart"/>
      <w:r w:rsidRPr="001D2128">
        <w:rPr>
          <w:lang w:val="en-US"/>
        </w:rPr>
        <w:t>Beslaneeva</w:t>
      </w:r>
      <w:proofErr w:type="spellEnd"/>
      <w:r w:rsidRPr="001D2128">
        <w:rPr>
          <w:lang w:val="en-US"/>
        </w:rPr>
        <w:t xml:space="preserve"> Z.L. The procedure for accounting for intangible assets under FSBU 14/2022 // Economics and Management: Problems, Solutions. – 2024. – Vol. 12. – No. 11 (152). – Pp. 147-160.</w:t>
      </w:r>
    </w:p>
    <w:p w14:paraId="094D517E" w14:textId="77777777" w:rsidR="00EC7184" w:rsidRPr="001D2128" w:rsidRDefault="00EC7184" w:rsidP="00EC7184">
      <w:pPr>
        <w:pStyle w:val="a5"/>
        <w:rPr>
          <w:lang w:val="en-US"/>
        </w:rPr>
      </w:pPr>
      <w:r w:rsidRPr="001D2128">
        <w:rPr>
          <w:lang w:val="en-US"/>
        </w:rPr>
        <w:t xml:space="preserve">8. </w:t>
      </w:r>
      <w:proofErr w:type="spellStart"/>
      <w:r w:rsidRPr="001D2128">
        <w:rPr>
          <w:lang w:val="en-US"/>
        </w:rPr>
        <w:t>Mulkhm</w:t>
      </w:r>
      <w:proofErr w:type="spellEnd"/>
      <w:r w:rsidRPr="001D2128">
        <w:rPr>
          <w:lang w:val="en-US"/>
        </w:rPr>
        <w:t xml:space="preserve"> R. Organizational Components of Accounting and Analytical Support for Activities in the Agricultural Sector // Economics of Sustainable Development. – 2024. – No. 4 (60). – Pp. 105-108.</w:t>
      </w:r>
    </w:p>
    <w:p w14:paraId="763C1341" w14:textId="77777777" w:rsidR="00EC7184" w:rsidRPr="001D2128" w:rsidRDefault="00EC7184" w:rsidP="00EC7184">
      <w:pPr>
        <w:pStyle w:val="a5"/>
        <w:rPr>
          <w:lang w:val="en-US"/>
        </w:rPr>
      </w:pPr>
      <w:r w:rsidRPr="001D2128">
        <w:rPr>
          <w:lang w:val="en-US"/>
        </w:rPr>
        <w:t xml:space="preserve">9. </w:t>
      </w:r>
      <w:proofErr w:type="spellStart"/>
      <w:r w:rsidRPr="001D2128">
        <w:rPr>
          <w:lang w:val="en-US"/>
        </w:rPr>
        <w:t>Polenova</w:t>
      </w:r>
      <w:proofErr w:type="spellEnd"/>
      <w:r w:rsidRPr="001D2128">
        <w:rPr>
          <w:lang w:val="en-US"/>
        </w:rPr>
        <w:t xml:space="preserve"> S.N. Some Issues of Transformation of Accounting for Intangible Assets // Auditor. – 2024. – Vol. 10. – No. 10. – Pp. 10-15.</w:t>
      </w:r>
    </w:p>
    <w:p w14:paraId="79BBA590" w14:textId="77777777" w:rsidR="00EC7184" w:rsidRPr="001D2128" w:rsidRDefault="00EC7184" w:rsidP="00EC7184">
      <w:pPr>
        <w:pStyle w:val="a5"/>
        <w:rPr>
          <w:lang w:val="en-US"/>
        </w:rPr>
      </w:pPr>
      <w:r w:rsidRPr="001D2128">
        <w:rPr>
          <w:lang w:val="en-US"/>
        </w:rPr>
        <w:t xml:space="preserve">10. </w:t>
      </w:r>
      <w:proofErr w:type="spellStart"/>
      <w:r w:rsidRPr="001D2128">
        <w:rPr>
          <w:lang w:val="en-US"/>
        </w:rPr>
        <w:t>Polukhina</w:t>
      </w:r>
      <w:proofErr w:type="spellEnd"/>
      <w:r w:rsidRPr="001D2128">
        <w:rPr>
          <w:lang w:val="en-US"/>
        </w:rPr>
        <w:t xml:space="preserve"> S.A., </w:t>
      </w:r>
      <w:proofErr w:type="spellStart"/>
      <w:r w:rsidRPr="001D2128">
        <w:rPr>
          <w:lang w:val="en-US"/>
        </w:rPr>
        <w:t>Sviridenkov</w:t>
      </w:r>
      <w:proofErr w:type="spellEnd"/>
      <w:r w:rsidRPr="001D2128">
        <w:rPr>
          <w:lang w:val="en-US"/>
        </w:rPr>
        <w:t xml:space="preserve"> K.A. Innovations in Legislation in Accounting for Intangible Assets // Economic and Social-Humanitarian Research. – 2024. – No. 4 (44). – Pp. 49-54.</w:t>
      </w:r>
    </w:p>
    <w:p w14:paraId="2ECB7661" w14:textId="77777777" w:rsidR="00EC7184" w:rsidRPr="001D2128" w:rsidRDefault="00EC7184" w:rsidP="00EC7184">
      <w:pPr>
        <w:pStyle w:val="a5"/>
        <w:rPr>
          <w:lang w:val="en-US"/>
        </w:rPr>
      </w:pPr>
      <w:r w:rsidRPr="001D2128">
        <w:rPr>
          <w:lang w:val="en-US"/>
        </w:rPr>
        <w:t xml:space="preserve">11. Tishchenko I.A., </w:t>
      </w:r>
      <w:proofErr w:type="spellStart"/>
      <w:r w:rsidRPr="001D2128">
        <w:rPr>
          <w:lang w:val="en-US"/>
        </w:rPr>
        <w:t>Musipova</w:t>
      </w:r>
      <w:proofErr w:type="spellEnd"/>
      <w:r w:rsidRPr="001D2128">
        <w:rPr>
          <w:lang w:val="en-US"/>
        </w:rPr>
        <w:t xml:space="preserve"> L.K. Current Issues of Accounting for Intangible Assets // Economic and Humanitarian Sciences. – 2024. – No. 7 (390). – Pp. 26-34.</w:t>
      </w:r>
    </w:p>
    <w:p w14:paraId="4E8944D3" w14:textId="77777777" w:rsidR="00EC7184" w:rsidRPr="001D2128" w:rsidRDefault="00EC7184" w:rsidP="00EC7184">
      <w:pPr>
        <w:pStyle w:val="a5"/>
        <w:rPr>
          <w:lang w:val="en-US"/>
        </w:rPr>
      </w:pPr>
    </w:p>
    <w:p w14:paraId="0322277A" w14:textId="77777777" w:rsidR="00EC7184" w:rsidRPr="001D2128" w:rsidRDefault="00EC7184" w:rsidP="00EC7184">
      <w:pPr>
        <w:pStyle w:val="a5"/>
        <w:rPr>
          <w:lang w:val="en-US"/>
        </w:rPr>
      </w:pPr>
    </w:p>
    <w:p w14:paraId="2AF3214D" w14:textId="77777777" w:rsidR="0094552E" w:rsidRPr="00EC7184" w:rsidRDefault="0094552E" w:rsidP="00EC7184">
      <w:pPr>
        <w:rPr>
          <w:lang w:val="en-US"/>
        </w:rPr>
      </w:pPr>
    </w:p>
    <w:sectPr w:rsidR="0094552E" w:rsidRPr="00EC7184" w:rsidSect="00050312">
      <w:headerReference w:type="default" r:id="rId11"/>
      <w:footerReference w:type="default" r:id="rId12"/>
      <w:footnotePr>
        <w:numRestart w:val="eachPage"/>
      </w:footnotePr>
      <w:pgSz w:w="11906" w:h="16838"/>
      <w:pgMar w:top="1134" w:right="851" w:bottom="1134" w:left="1701" w:header="709" w:footer="0"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CAFF0C" w14:textId="77777777" w:rsidR="00C81A30" w:rsidRDefault="00C81A30">
      <w:pPr>
        <w:spacing w:after="0" w:line="240" w:lineRule="auto"/>
      </w:pPr>
      <w:r>
        <w:separator/>
      </w:r>
    </w:p>
  </w:endnote>
  <w:endnote w:type="continuationSeparator" w:id="0">
    <w:p w14:paraId="1EB668FC" w14:textId="77777777" w:rsidR="00C81A30" w:rsidRDefault="00C81A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A9F04F" w14:textId="77777777" w:rsidR="0094552E" w:rsidRPr="00D827F7" w:rsidRDefault="0094552E">
    <w:pPr>
      <w:pStyle w:val="a9"/>
      <w:jc w:val="center"/>
      <w:rPr>
        <w:rFonts w:ascii="Times New Roman" w:hAnsi="Times New Roman"/>
        <w:sz w:val="24"/>
      </w:rPr>
    </w:pPr>
  </w:p>
  <w:p w14:paraId="4274F346" w14:textId="77777777" w:rsidR="0094552E" w:rsidRDefault="0094552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B951BC" w14:textId="77777777" w:rsidR="00C81A30" w:rsidRDefault="00C81A30">
      <w:pPr>
        <w:spacing w:after="0" w:line="240" w:lineRule="auto"/>
      </w:pPr>
      <w:r>
        <w:separator/>
      </w:r>
    </w:p>
  </w:footnote>
  <w:footnote w:type="continuationSeparator" w:id="0">
    <w:p w14:paraId="1ED18FE3" w14:textId="77777777" w:rsidR="00C81A30" w:rsidRDefault="00C81A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4B1F84" w14:textId="77777777" w:rsidR="0094552E" w:rsidRPr="00595A28" w:rsidRDefault="0094552E" w:rsidP="00595A28">
    <w:pPr>
      <w:pStyle w:val="a7"/>
      <w:jc w:val="right"/>
      <w:rPr>
        <w:rFonts w:ascii="Times New Roman" w:hAnsi="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7F6"/>
    <w:rsid w:val="00247203"/>
    <w:rsid w:val="00290146"/>
    <w:rsid w:val="004542D8"/>
    <w:rsid w:val="006E5A2A"/>
    <w:rsid w:val="0072778B"/>
    <w:rsid w:val="007F312E"/>
    <w:rsid w:val="00923B79"/>
    <w:rsid w:val="0094552E"/>
    <w:rsid w:val="00AE07F6"/>
    <w:rsid w:val="00BD7451"/>
    <w:rsid w:val="00C81A30"/>
    <w:rsid w:val="00CF1AF8"/>
    <w:rsid w:val="00D74114"/>
    <w:rsid w:val="00D83E16"/>
    <w:rsid w:val="00E174CE"/>
    <w:rsid w:val="00EC7184"/>
    <w:rsid w:val="00F13F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48549"/>
  <w15:chartTrackingRefBased/>
  <w15:docId w15:val="{E321CAE8-E178-4980-90A7-4E82FBE5C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E07F6"/>
    <w:rPr>
      <w:rFonts w:ascii="Times New Roman" w:hAnsi="Times New Roman" w:cs="Times New Roman"/>
      <w:spacing w:val="2"/>
      <w:kern w:val="28"/>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Т"/>
    <w:link w:val="a4"/>
    <w:qFormat/>
    <w:rsid w:val="00AE07F6"/>
    <w:pPr>
      <w:spacing w:after="0" w:line="240" w:lineRule="auto"/>
      <w:contextualSpacing/>
      <w:jc w:val="center"/>
    </w:pPr>
    <w:rPr>
      <w:rFonts w:ascii="Times New Roman" w:eastAsia="Calibri" w:hAnsi="Times New Roman" w:cs="Times New Roman"/>
      <w:spacing w:val="2"/>
      <w:kern w:val="28"/>
      <w:sz w:val="24"/>
      <w:szCs w:val="24"/>
      <w:lang w:val="x-none"/>
    </w:rPr>
  </w:style>
  <w:style w:type="character" w:customStyle="1" w:styleId="a4">
    <w:name w:val="Т Знак"/>
    <w:basedOn w:val="a0"/>
    <w:link w:val="a3"/>
    <w:rsid w:val="00AE07F6"/>
    <w:rPr>
      <w:rFonts w:ascii="Times New Roman" w:eastAsia="Calibri" w:hAnsi="Times New Roman" w:cs="Times New Roman"/>
      <w:spacing w:val="2"/>
      <w:kern w:val="28"/>
      <w:sz w:val="24"/>
      <w:szCs w:val="24"/>
      <w:lang w:val="x-none"/>
    </w:rPr>
  </w:style>
  <w:style w:type="paragraph" w:customStyle="1" w:styleId="a5">
    <w:name w:val="А"/>
    <w:basedOn w:val="a"/>
    <w:link w:val="a6"/>
    <w:qFormat/>
    <w:rsid w:val="00AE07F6"/>
    <w:pPr>
      <w:spacing w:after="0" w:line="360" w:lineRule="auto"/>
      <w:ind w:firstLine="709"/>
      <w:contextualSpacing/>
      <w:jc w:val="both"/>
    </w:pPr>
    <w:rPr>
      <w:rFonts w:eastAsia="Calibri"/>
      <w:lang w:val="x-none"/>
    </w:rPr>
  </w:style>
  <w:style w:type="character" w:customStyle="1" w:styleId="a6">
    <w:name w:val="А Знак"/>
    <w:link w:val="a5"/>
    <w:rsid w:val="00AE07F6"/>
    <w:rPr>
      <w:rFonts w:ascii="Times New Roman" w:eastAsia="Calibri" w:hAnsi="Times New Roman" w:cs="Times New Roman"/>
      <w:spacing w:val="2"/>
      <w:kern w:val="28"/>
      <w:sz w:val="28"/>
      <w:szCs w:val="28"/>
      <w:lang w:val="x-none"/>
    </w:rPr>
  </w:style>
  <w:style w:type="paragraph" w:styleId="a7">
    <w:name w:val="header"/>
    <w:basedOn w:val="a"/>
    <w:link w:val="a8"/>
    <w:uiPriority w:val="99"/>
    <w:unhideWhenUsed/>
    <w:rsid w:val="00AE07F6"/>
    <w:pPr>
      <w:tabs>
        <w:tab w:val="center" w:pos="4677"/>
        <w:tab w:val="right" w:pos="9355"/>
      </w:tabs>
      <w:spacing w:line="312" w:lineRule="auto"/>
    </w:pPr>
    <w:rPr>
      <w:rFonts w:ascii="Calibri" w:eastAsia="Times New Roman" w:hAnsi="Calibri"/>
      <w:sz w:val="21"/>
      <w:szCs w:val="21"/>
      <w:lang w:eastAsia="ru-RU"/>
    </w:rPr>
  </w:style>
  <w:style w:type="character" w:customStyle="1" w:styleId="a8">
    <w:name w:val="Верхний колонтитул Знак"/>
    <w:basedOn w:val="a0"/>
    <w:link w:val="a7"/>
    <w:uiPriority w:val="99"/>
    <w:rsid w:val="00AE07F6"/>
    <w:rPr>
      <w:rFonts w:ascii="Calibri" w:eastAsia="Times New Roman" w:hAnsi="Calibri" w:cs="Times New Roman"/>
      <w:spacing w:val="2"/>
      <w:kern w:val="28"/>
      <w:sz w:val="21"/>
      <w:szCs w:val="21"/>
      <w:lang w:eastAsia="ru-RU"/>
    </w:rPr>
  </w:style>
  <w:style w:type="paragraph" w:styleId="a9">
    <w:name w:val="footer"/>
    <w:basedOn w:val="a"/>
    <w:link w:val="aa"/>
    <w:uiPriority w:val="99"/>
    <w:unhideWhenUsed/>
    <w:rsid w:val="00AE07F6"/>
    <w:pPr>
      <w:tabs>
        <w:tab w:val="center" w:pos="4677"/>
        <w:tab w:val="right" w:pos="9355"/>
      </w:tabs>
      <w:spacing w:line="312" w:lineRule="auto"/>
    </w:pPr>
    <w:rPr>
      <w:rFonts w:ascii="Calibri" w:eastAsia="Times New Roman" w:hAnsi="Calibri"/>
      <w:sz w:val="21"/>
      <w:szCs w:val="21"/>
      <w:lang w:eastAsia="ru-RU"/>
    </w:rPr>
  </w:style>
  <w:style w:type="character" w:customStyle="1" w:styleId="aa">
    <w:name w:val="Нижний колонтитул Знак"/>
    <w:basedOn w:val="a0"/>
    <w:link w:val="a9"/>
    <w:uiPriority w:val="99"/>
    <w:rsid w:val="00AE07F6"/>
    <w:rPr>
      <w:rFonts w:ascii="Calibri" w:eastAsia="Times New Roman" w:hAnsi="Calibri" w:cs="Times New Roman"/>
      <w:spacing w:val="2"/>
      <w:kern w:val="28"/>
      <w:sz w:val="21"/>
      <w:szCs w:val="21"/>
      <w:lang w:eastAsia="ru-RU"/>
    </w:rPr>
  </w:style>
  <w:style w:type="table" w:styleId="ab">
    <w:name w:val="Table Grid"/>
    <w:basedOn w:val="a1"/>
    <w:uiPriority w:val="59"/>
    <w:rsid w:val="00AE07F6"/>
    <w:pPr>
      <w:spacing w:after="0" w:line="240" w:lineRule="auto"/>
    </w:pPr>
    <w:rPr>
      <w:rFonts w:ascii="Calibri" w:eastAsia="Times New Roman" w:hAnsi="Calibri" w:cs="Times New Roman"/>
      <w:spacing w:val="2"/>
      <w:kern w:val="28"/>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c">
    <w:name w:val="з"/>
    <w:basedOn w:val="a5"/>
    <w:link w:val="ad"/>
    <w:qFormat/>
    <w:rsid w:val="00AE07F6"/>
    <w:pPr>
      <w:ind w:firstLine="0"/>
      <w:jc w:val="center"/>
      <w:outlineLvl w:val="1"/>
    </w:pPr>
    <w:rPr>
      <w:b/>
    </w:rPr>
  </w:style>
  <w:style w:type="character" w:customStyle="1" w:styleId="ad">
    <w:name w:val="з Знак"/>
    <w:link w:val="ac"/>
    <w:rsid w:val="00AE07F6"/>
    <w:rPr>
      <w:rFonts w:ascii="Times New Roman" w:eastAsia="Calibri" w:hAnsi="Times New Roman" w:cs="Times New Roman"/>
      <w:b/>
      <w:spacing w:val="2"/>
      <w:kern w:val="28"/>
      <w:sz w:val="28"/>
      <w:szCs w:val="28"/>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diagramLayout" Target="diagrams/layout1.xm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Data" Target="diagrams/data1.xml"/><Relationship Id="rId11" Type="http://schemas.openxmlformats.org/officeDocument/2006/relationships/header" Target="header1.xml"/><Relationship Id="rId5" Type="http://schemas.openxmlformats.org/officeDocument/2006/relationships/endnotes" Target="endnotes.xml"/><Relationship Id="rId10" Type="http://schemas.microsoft.com/office/2007/relationships/diagramDrawing" Target="diagrams/drawing1.xml"/><Relationship Id="rId4" Type="http://schemas.openxmlformats.org/officeDocument/2006/relationships/footnotes" Target="footnotes.xml"/><Relationship Id="rId9" Type="http://schemas.openxmlformats.org/officeDocument/2006/relationships/diagramColors" Target="diagrams/colors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F43A08D-2D79-4F05-8262-78B2E5F94587}" type="doc">
      <dgm:prSet loTypeId="urn:microsoft.com/office/officeart/2005/8/layout/cycle6" loCatId="cycle" qsTypeId="urn:microsoft.com/office/officeart/2005/8/quickstyle/simple3" qsCatId="simple" csTypeId="urn:microsoft.com/office/officeart/2005/8/colors/colorful5" csCatId="colorful" phldr="1"/>
      <dgm:spPr/>
      <dgm:t>
        <a:bodyPr/>
        <a:lstStyle/>
        <a:p>
          <a:endParaRPr lang="ru-RU"/>
        </a:p>
      </dgm:t>
    </dgm:pt>
    <dgm:pt modelId="{E4EE16DE-8BDF-467F-8604-7C7A7A10AD82}">
      <dgm:prSet phldrT="[Текст]" custT="1"/>
      <dgm:spPr/>
      <dgm:t>
        <a:bodyPr/>
        <a:lstStyle/>
        <a:p>
          <a:r>
            <a:rPr lang="ru-RU" sz="1200">
              <a:latin typeface="Times New Roman" panose="02020603050405020304" pitchFamily="18" charset="0"/>
              <a:cs typeface="Times New Roman" panose="02020603050405020304" pitchFamily="18" charset="0"/>
            </a:rPr>
            <a:t>Селекционные достижения</a:t>
          </a:r>
        </a:p>
      </dgm:t>
    </dgm:pt>
    <dgm:pt modelId="{B27FF6A6-BA4F-46CF-BBD0-9EC6456931DE}" type="parTrans" cxnId="{1ADF16E5-3AD5-4FA5-9235-5EDA081A93BB}">
      <dgm:prSet/>
      <dgm:spPr/>
      <dgm:t>
        <a:bodyPr/>
        <a:lstStyle/>
        <a:p>
          <a:endParaRPr lang="ru-RU" sz="1200">
            <a:latin typeface="Times New Roman" panose="02020603050405020304" pitchFamily="18" charset="0"/>
            <a:cs typeface="Times New Roman" panose="02020603050405020304" pitchFamily="18" charset="0"/>
          </a:endParaRPr>
        </a:p>
      </dgm:t>
    </dgm:pt>
    <dgm:pt modelId="{352C623F-FB81-4832-9559-094D2AFBA5AB}" type="sibTrans" cxnId="{1ADF16E5-3AD5-4FA5-9235-5EDA081A93BB}">
      <dgm:prSet/>
      <dgm:spPr/>
      <dgm:t>
        <a:bodyPr/>
        <a:lstStyle/>
        <a:p>
          <a:endParaRPr lang="ru-RU" sz="1200">
            <a:latin typeface="Times New Roman" panose="02020603050405020304" pitchFamily="18" charset="0"/>
            <a:cs typeface="Times New Roman" panose="02020603050405020304" pitchFamily="18" charset="0"/>
          </a:endParaRPr>
        </a:p>
      </dgm:t>
    </dgm:pt>
    <dgm:pt modelId="{04AAEB75-A820-4EF9-93A5-4817D569B249}">
      <dgm:prSet custT="1"/>
      <dgm:spPr/>
      <dgm:t>
        <a:bodyPr/>
        <a:lstStyle/>
        <a:p>
          <a:pPr>
            <a:spcAft>
              <a:spcPts val="0"/>
            </a:spcAft>
          </a:pPr>
          <a:r>
            <a:rPr lang="ru-RU" sz="1200">
              <a:latin typeface="Times New Roman" panose="02020603050405020304" pitchFamily="18" charset="0"/>
              <a:cs typeface="Times New Roman" panose="02020603050405020304" pitchFamily="18" charset="0"/>
            </a:rPr>
            <a:t>Товарные </a:t>
          </a:r>
        </a:p>
        <a:p>
          <a:pPr>
            <a:spcAft>
              <a:spcPts val="0"/>
            </a:spcAft>
          </a:pPr>
          <a:r>
            <a:rPr lang="ru-RU" sz="1200">
              <a:latin typeface="Times New Roman" panose="02020603050405020304" pitchFamily="18" charset="0"/>
              <a:cs typeface="Times New Roman" panose="02020603050405020304" pitchFamily="18" charset="0"/>
            </a:rPr>
            <a:t>знаки </a:t>
          </a:r>
        </a:p>
      </dgm:t>
    </dgm:pt>
    <dgm:pt modelId="{FF219F94-25A7-4709-B0D9-4B5D87E3065F}" type="parTrans" cxnId="{64CB0C81-9FE3-409F-99B6-80E7498A7EEA}">
      <dgm:prSet/>
      <dgm:spPr/>
      <dgm:t>
        <a:bodyPr/>
        <a:lstStyle/>
        <a:p>
          <a:endParaRPr lang="ru-RU" sz="1200">
            <a:latin typeface="Times New Roman" panose="02020603050405020304" pitchFamily="18" charset="0"/>
            <a:cs typeface="Times New Roman" panose="02020603050405020304" pitchFamily="18" charset="0"/>
          </a:endParaRPr>
        </a:p>
      </dgm:t>
    </dgm:pt>
    <dgm:pt modelId="{C27A79EC-C621-4680-BE27-FB343D48E611}" type="sibTrans" cxnId="{64CB0C81-9FE3-409F-99B6-80E7498A7EEA}">
      <dgm:prSet/>
      <dgm:spPr/>
      <dgm:t>
        <a:bodyPr/>
        <a:lstStyle/>
        <a:p>
          <a:endParaRPr lang="ru-RU" sz="1200">
            <a:latin typeface="Times New Roman" panose="02020603050405020304" pitchFamily="18" charset="0"/>
            <a:cs typeface="Times New Roman" panose="02020603050405020304" pitchFamily="18" charset="0"/>
          </a:endParaRPr>
        </a:p>
      </dgm:t>
    </dgm:pt>
    <dgm:pt modelId="{F2CC5F3C-87C1-40AB-8D91-12802514B196}">
      <dgm:prSet custT="1"/>
      <dgm:spPr/>
      <dgm:t>
        <a:bodyPr/>
        <a:lstStyle/>
        <a:p>
          <a:r>
            <a:rPr lang="ru-RU" sz="1200">
              <a:latin typeface="Times New Roman" panose="02020603050405020304" pitchFamily="18" charset="0"/>
              <a:cs typeface="Times New Roman" panose="02020603050405020304" pitchFamily="18" charset="0"/>
            </a:rPr>
            <a:t>Наименования мест происхождения товаров</a:t>
          </a:r>
        </a:p>
      </dgm:t>
    </dgm:pt>
    <dgm:pt modelId="{AE11CF41-77E3-412F-960F-415843D7A6E8}" type="parTrans" cxnId="{53A04713-0987-4844-B8D3-17B27FC2F9A7}">
      <dgm:prSet/>
      <dgm:spPr/>
      <dgm:t>
        <a:bodyPr/>
        <a:lstStyle/>
        <a:p>
          <a:endParaRPr lang="ru-RU" sz="1200">
            <a:latin typeface="Times New Roman" panose="02020603050405020304" pitchFamily="18" charset="0"/>
            <a:cs typeface="Times New Roman" panose="02020603050405020304" pitchFamily="18" charset="0"/>
          </a:endParaRPr>
        </a:p>
      </dgm:t>
    </dgm:pt>
    <dgm:pt modelId="{3072128C-1C64-4E02-94D6-A31737B7B783}" type="sibTrans" cxnId="{53A04713-0987-4844-B8D3-17B27FC2F9A7}">
      <dgm:prSet/>
      <dgm:spPr/>
      <dgm:t>
        <a:bodyPr/>
        <a:lstStyle/>
        <a:p>
          <a:endParaRPr lang="ru-RU" sz="1200">
            <a:latin typeface="Times New Roman" panose="02020603050405020304" pitchFamily="18" charset="0"/>
            <a:cs typeface="Times New Roman" panose="02020603050405020304" pitchFamily="18" charset="0"/>
          </a:endParaRPr>
        </a:p>
      </dgm:t>
    </dgm:pt>
    <dgm:pt modelId="{9D67B46B-D49D-4658-8B25-EE4823DFB62C}">
      <dgm:prSet custT="1"/>
      <dgm:spPr/>
      <dgm:t>
        <a:bodyPr/>
        <a:lstStyle/>
        <a:p>
          <a:r>
            <a:rPr lang="ru-RU" sz="1200">
              <a:latin typeface="Times New Roman" panose="02020603050405020304" pitchFamily="18" charset="0"/>
              <a:cs typeface="Times New Roman" panose="02020603050405020304" pitchFamily="18" charset="0"/>
            </a:rPr>
            <a:t>Ноу-хау в области агротехнологий</a:t>
          </a:r>
        </a:p>
      </dgm:t>
    </dgm:pt>
    <dgm:pt modelId="{FBF66AEF-F6F2-4D04-8A86-EAADF56F0146}" type="parTrans" cxnId="{A422B002-96A6-45F9-AB36-5D3CE1DF2CF2}">
      <dgm:prSet/>
      <dgm:spPr/>
      <dgm:t>
        <a:bodyPr/>
        <a:lstStyle/>
        <a:p>
          <a:endParaRPr lang="ru-RU" sz="1200">
            <a:latin typeface="Times New Roman" panose="02020603050405020304" pitchFamily="18" charset="0"/>
            <a:cs typeface="Times New Roman" panose="02020603050405020304" pitchFamily="18" charset="0"/>
          </a:endParaRPr>
        </a:p>
      </dgm:t>
    </dgm:pt>
    <dgm:pt modelId="{F8C7381B-AB0B-4113-843C-D18E5A78E5F6}" type="sibTrans" cxnId="{A422B002-96A6-45F9-AB36-5D3CE1DF2CF2}">
      <dgm:prSet/>
      <dgm:spPr/>
      <dgm:t>
        <a:bodyPr/>
        <a:lstStyle/>
        <a:p>
          <a:endParaRPr lang="ru-RU" sz="1200">
            <a:latin typeface="Times New Roman" panose="02020603050405020304" pitchFamily="18" charset="0"/>
            <a:cs typeface="Times New Roman" panose="02020603050405020304" pitchFamily="18" charset="0"/>
          </a:endParaRPr>
        </a:p>
      </dgm:t>
    </dgm:pt>
    <dgm:pt modelId="{F29404BA-2F12-410E-BF54-544DB06F5160}">
      <dgm:prSet custT="1"/>
      <dgm:spPr/>
      <dgm:t>
        <a:bodyPr/>
        <a:lstStyle/>
        <a:p>
          <a:r>
            <a:rPr lang="ru-RU" sz="1200">
              <a:latin typeface="Times New Roman" panose="02020603050405020304" pitchFamily="18" charset="0"/>
              <a:cs typeface="Times New Roman" panose="02020603050405020304" pitchFamily="18" charset="0"/>
            </a:rPr>
            <a:t>Программное обеспечение</a:t>
          </a:r>
        </a:p>
      </dgm:t>
    </dgm:pt>
    <dgm:pt modelId="{39E0DDED-83B7-4215-92C2-7709AFE67073}" type="parTrans" cxnId="{29CF7297-2D0A-404E-9EB5-CAF6C932B438}">
      <dgm:prSet/>
      <dgm:spPr/>
      <dgm:t>
        <a:bodyPr/>
        <a:lstStyle/>
        <a:p>
          <a:endParaRPr lang="ru-RU" sz="1200">
            <a:latin typeface="Times New Roman" panose="02020603050405020304" pitchFamily="18" charset="0"/>
            <a:cs typeface="Times New Roman" panose="02020603050405020304" pitchFamily="18" charset="0"/>
          </a:endParaRPr>
        </a:p>
      </dgm:t>
    </dgm:pt>
    <dgm:pt modelId="{39F31953-77FC-499F-B817-D3444C43DEBC}" type="sibTrans" cxnId="{29CF7297-2D0A-404E-9EB5-CAF6C932B438}">
      <dgm:prSet/>
      <dgm:spPr/>
      <dgm:t>
        <a:bodyPr/>
        <a:lstStyle/>
        <a:p>
          <a:endParaRPr lang="ru-RU" sz="1200">
            <a:latin typeface="Times New Roman" panose="02020603050405020304" pitchFamily="18" charset="0"/>
            <a:cs typeface="Times New Roman" panose="02020603050405020304" pitchFamily="18" charset="0"/>
          </a:endParaRPr>
        </a:p>
      </dgm:t>
    </dgm:pt>
    <dgm:pt modelId="{6048FBD6-CC45-460F-9AC1-85434110CA18}" type="pres">
      <dgm:prSet presAssocID="{7F43A08D-2D79-4F05-8262-78B2E5F94587}" presName="cycle" presStyleCnt="0">
        <dgm:presLayoutVars>
          <dgm:dir/>
          <dgm:resizeHandles val="exact"/>
        </dgm:presLayoutVars>
      </dgm:prSet>
      <dgm:spPr/>
    </dgm:pt>
    <dgm:pt modelId="{4BFE9305-6887-490F-A428-B69D978D274B}" type="pres">
      <dgm:prSet presAssocID="{E4EE16DE-8BDF-467F-8604-7C7A7A10AD82}" presName="node" presStyleLbl="node1" presStyleIdx="0" presStyleCnt="5">
        <dgm:presLayoutVars>
          <dgm:bulletEnabled val="1"/>
        </dgm:presLayoutVars>
      </dgm:prSet>
      <dgm:spPr/>
    </dgm:pt>
    <dgm:pt modelId="{4F32A074-0B19-4D2B-9204-6C9B4DF47579}" type="pres">
      <dgm:prSet presAssocID="{E4EE16DE-8BDF-467F-8604-7C7A7A10AD82}" presName="spNode" presStyleCnt="0"/>
      <dgm:spPr/>
    </dgm:pt>
    <dgm:pt modelId="{B0FB154B-800F-48BA-90F6-B63E4D59C051}" type="pres">
      <dgm:prSet presAssocID="{352C623F-FB81-4832-9559-094D2AFBA5AB}" presName="sibTrans" presStyleLbl="sibTrans1D1" presStyleIdx="0" presStyleCnt="5"/>
      <dgm:spPr/>
    </dgm:pt>
    <dgm:pt modelId="{704C59F0-8B30-4A5E-B4D5-761ED72354EB}" type="pres">
      <dgm:prSet presAssocID="{04AAEB75-A820-4EF9-93A5-4817D569B249}" presName="node" presStyleLbl="node1" presStyleIdx="1" presStyleCnt="5">
        <dgm:presLayoutVars>
          <dgm:bulletEnabled val="1"/>
        </dgm:presLayoutVars>
      </dgm:prSet>
      <dgm:spPr/>
    </dgm:pt>
    <dgm:pt modelId="{D95F058F-8556-41CF-85B1-D4592B825C73}" type="pres">
      <dgm:prSet presAssocID="{04AAEB75-A820-4EF9-93A5-4817D569B249}" presName="spNode" presStyleCnt="0"/>
      <dgm:spPr/>
    </dgm:pt>
    <dgm:pt modelId="{53850205-1FD7-4EC7-8EF8-E00873C88FE1}" type="pres">
      <dgm:prSet presAssocID="{C27A79EC-C621-4680-BE27-FB343D48E611}" presName="sibTrans" presStyleLbl="sibTrans1D1" presStyleIdx="1" presStyleCnt="5"/>
      <dgm:spPr/>
    </dgm:pt>
    <dgm:pt modelId="{F911CA41-6D86-44CE-998D-82B16A970EFD}" type="pres">
      <dgm:prSet presAssocID="{F2CC5F3C-87C1-40AB-8D91-12802514B196}" presName="node" presStyleLbl="node1" presStyleIdx="2" presStyleCnt="5">
        <dgm:presLayoutVars>
          <dgm:bulletEnabled val="1"/>
        </dgm:presLayoutVars>
      </dgm:prSet>
      <dgm:spPr/>
    </dgm:pt>
    <dgm:pt modelId="{F7027D39-7CA4-4511-A505-C47BA81BEE08}" type="pres">
      <dgm:prSet presAssocID="{F2CC5F3C-87C1-40AB-8D91-12802514B196}" presName="spNode" presStyleCnt="0"/>
      <dgm:spPr/>
    </dgm:pt>
    <dgm:pt modelId="{F830EFA5-7C70-46A8-A8B4-862670C6B745}" type="pres">
      <dgm:prSet presAssocID="{3072128C-1C64-4E02-94D6-A31737B7B783}" presName="sibTrans" presStyleLbl="sibTrans1D1" presStyleIdx="2" presStyleCnt="5"/>
      <dgm:spPr/>
    </dgm:pt>
    <dgm:pt modelId="{7A4BD6B0-2993-436B-8DD0-D39E2D2EE8E1}" type="pres">
      <dgm:prSet presAssocID="{9D67B46B-D49D-4658-8B25-EE4823DFB62C}" presName="node" presStyleLbl="node1" presStyleIdx="3" presStyleCnt="5">
        <dgm:presLayoutVars>
          <dgm:bulletEnabled val="1"/>
        </dgm:presLayoutVars>
      </dgm:prSet>
      <dgm:spPr/>
    </dgm:pt>
    <dgm:pt modelId="{CF4AB9EA-F93E-4E32-8295-F805D929A042}" type="pres">
      <dgm:prSet presAssocID="{9D67B46B-D49D-4658-8B25-EE4823DFB62C}" presName="spNode" presStyleCnt="0"/>
      <dgm:spPr/>
    </dgm:pt>
    <dgm:pt modelId="{D85F3F22-CB19-42D5-9BB8-A4B3D6635C76}" type="pres">
      <dgm:prSet presAssocID="{F8C7381B-AB0B-4113-843C-D18E5A78E5F6}" presName="sibTrans" presStyleLbl="sibTrans1D1" presStyleIdx="3" presStyleCnt="5"/>
      <dgm:spPr/>
    </dgm:pt>
    <dgm:pt modelId="{7945A3BD-E84A-4012-AE78-B699680FB610}" type="pres">
      <dgm:prSet presAssocID="{F29404BA-2F12-410E-BF54-544DB06F5160}" presName="node" presStyleLbl="node1" presStyleIdx="4" presStyleCnt="5">
        <dgm:presLayoutVars>
          <dgm:bulletEnabled val="1"/>
        </dgm:presLayoutVars>
      </dgm:prSet>
      <dgm:spPr/>
    </dgm:pt>
    <dgm:pt modelId="{AFF9FF04-D99F-46B8-95E3-E69C4E802AB5}" type="pres">
      <dgm:prSet presAssocID="{F29404BA-2F12-410E-BF54-544DB06F5160}" presName="spNode" presStyleCnt="0"/>
      <dgm:spPr/>
    </dgm:pt>
    <dgm:pt modelId="{E18AD1C1-F30C-4758-AF00-262B73894DAD}" type="pres">
      <dgm:prSet presAssocID="{39F31953-77FC-499F-B817-D3444C43DEBC}" presName="sibTrans" presStyleLbl="sibTrans1D1" presStyleIdx="4" presStyleCnt="5"/>
      <dgm:spPr/>
    </dgm:pt>
  </dgm:ptLst>
  <dgm:cxnLst>
    <dgm:cxn modelId="{A422B002-96A6-45F9-AB36-5D3CE1DF2CF2}" srcId="{7F43A08D-2D79-4F05-8262-78B2E5F94587}" destId="{9D67B46B-D49D-4658-8B25-EE4823DFB62C}" srcOrd="3" destOrd="0" parTransId="{FBF66AEF-F6F2-4D04-8A86-EAADF56F0146}" sibTransId="{F8C7381B-AB0B-4113-843C-D18E5A78E5F6}"/>
    <dgm:cxn modelId="{53A04713-0987-4844-B8D3-17B27FC2F9A7}" srcId="{7F43A08D-2D79-4F05-8262-78B2E5F94587}" destId="{F2CC5F3C-87C1-40AB-8D91-12802514B196}" srcOrd="2" destOrd="0" parTransId="{AE11CF41-77E3-412F-960F-415843D7A6E8}" sibTransId="{3072128C-1C64-4E02-94D6-A31737B7B783}"/>
    <dgm:cxn modelId="{B198991A-73DE-489A-8682-3B54F7E1290E}" type="presOf" srcId="{9D67B46B-D49D-4658-8B25-EE4823DFB62C}" destId="{7A4BD6B0-2993-436B-8DD0-D39E2D2EE8E1}" srcOrd="0" destOrd="0" presId="urn:microsoft.com/office/officeart/2005/8/layout/cycle6"/>
    <dgm:cxn modelId="{A0162022-FB5F-450A-94AD-28A1F19842AA}" type="presOf" srcId="{F2CC5F3C-87C1-40AB-8D91-12802514B196}" destId="{F911CA41-6D86-44CE-998D-82B16A970EFD}" srcOrd="0" destOrd="0" presId="urn:microsoft.com/office/officeart/2005/8/layout/cycle6"/>
    <dgm:cxn modelId="{50497625-E75E-4694-802B-1911B2130EC1}" type="presOf" srcId="{F29404BA-2F12-410E-BF54-544DB06F5160}" destId="{7945A3BD-E84A-4012-AE78-B699680FB610}" srcOrd="0" destOrd="0" presId="urn:microsoft.com/office/officeart/2005/8/layout/cycle6"/>
    <dgm:cxn modelId="{BAF48129-00DC-4A34-9D16-F1E8554F13CB}" type="presOf" srcId="{E4EE16DE-8BDF-467F-8604-7C7A7A10AD82}" destId="{4BFE9305-6887-490F-A428-B69D978D274B}" srcOrd="0" destOrd="0" presId="urn:microsoft.com/office/officeart/2005/8/layout/cycle6"/>
    <dgm:cxn modelId="{4147736E-7E64-4DAE-8B61-2CE573A8C67F}" type="presOf" srcId="{04AAEB75-A820-4EF9-93A5-4817D569B249}" destId="{704C59F0-8B30-4A5E-B4D5-761ED72354EB}" srcOrd="0" destOrd="0" presId="urn:microsoft.com/office/officeart/2005/8/layout/cycle6"/>
    <dgm:cxn modelId="{1A446073-98FE-4D0D-B0AC-B1A8F1BBEEA9}" type="presOf" srcId="{F8C7381B-AB0B-4113-843C-D18E5A78E5F6}" destId="{D85F3F22-CB19-42D5-9BB8-A4B3D6635C76}" srcOrd="0" destOrd="0" presId="urn:microsoft.com/office/officeart/2005/8/layout/cycle6"/>
    <dgm:cxn modelId="{0A763476-563B-4FAC-8CBB-312A13F5E51D}" type="presOf" srcId="{7F43A08D-2D79-4F05-8262-78B2E5F94587}" destId="{6048FBD6-CC45-460F-9AC1-85434110CA18}" srcOrd="0" destOrd="0" presId="urn:microsoft.com/office/officeart/2005/8/layout/cycle6"/>
    <dgm:cxn modelId="{21DFFA7A-08EC-4380-B52A-520C2DD5A265}" type="presOf" srcId="{C27A79EC-C621-4680-BE27-FB343D48E611}" destId="{53850205-1FD7-4EC7-8EF8-E00873C88FE1}" srcOrd="0" destOrd="0" presId="urn:microsoft.com/office/officeart/2005/8/layout/cycle6"/>
    <dgm:cxn modelId="{C9B45780-9B0F-4C9A-A80D-B2385CB7777D}" type="presOf" srcId="{3072128C-1C64-4E02-94D6-A31737B7B783}" destId="{F830EFA5-7C70-46A8-A8B4-862670C6B745}" srcOrd="0" destOrd="0" presId="urn:microsoft.com/office/officeart/2005/8/layout/cycle6"/>
    <dgm:cxn modelId="{64CB0C81-9FE3-409F-99B6-80E7498A7EEA}" srcId="{7F43A08D-2D79-4F05-8262-78B2E5F94587}" destId="{04AAEB75-A820-4EF9-93A5-4817D569B249}" srcOrd="1" destOrd="0" parTransId="{FF219F94-25A7-4709-B0D9-4B5D87E3065F}" sibTransId="{C27A79EC-C621-4680-BE27-FB343D48E611}"/>
    <dgm:cxn modelId="{1C7F0385-1DB3-459F-874B-1E01E3C1D018}" type="presOf" srcId="{39F31953-77FC-499F-B817-D3444C43DEBC}" destId="{E18AD1C1-F30C-4758-AF00-262B73894DAD}" srcOrd="0" destOrd="0" presId="urn:microsoft.com/office/officeart/2005/8/layout/cycle6"/>
    <dgm:cxn modelId="{29CF7297-2D0A-404E-9EB5-CAF6C932B438}" srcId="{7F43A08D-2D79-4F05-8262-78B2E5F94587}" destId="{F29404BA-2F12-410E-BF54-544DB06F5160}" srcOrd="4" destOrd="0" parTransId="{39E0DDED-83B7-4215-92C2-7709AFE67073}" sibTransId="{39F31953-77FC-499F-B817-D3444C43DEBC}"/>
    <dgm:cxn modelId="{74F806CE-D46B-4CDB-AC36-F11047B4A31B}" type="presOf" srcId="{352C623F-FB81-4832-9559-094D2AFBA5AB}" destId="{B0FB154B-800F-48BA-90F6-B63E4D59C051}" srcOrd="0" destOrd="0" presId="urn:microsoft.com/office/officeart/2005/8/layout/cycle6"/>
    <dgm:cxn modelId="{1ADF16E5-3AD5-4FA5-9235-5EDA081A93BB}" srcId="{7F43A08D-2D79-4F05-8262-78B2E5F94587}" destId="{E4EE16DE-8BDF-467F-8604-7C7A7A10AD82}" srcOrd="0" destOrd="0" parTransId="{B27FF6A6-BA4F-46CF-BBD0-9EC6456931DE}" sibTransId="{352C623F-FB81-4832-9559-094D2AFBA5AB}"/>
    <dgm:cxn modelId="{70158680-78EB-40F4-9185-3465F056F2E4}" type="presParOf" srcId="{6048FBD6-CC45-460F-9AC1-85434110CA18}" destId="{4BFE9305-6887-490F-A428-B69D978D274B}" srcOrd="0" destOrd="0" presId="urn:microsoft.com/office/officeart/2005/8/layout/cycle6"/>
    <dgm:cxn modelId="{4A40DE5B-587B-466F-9712-19454D1B6B1F}" type="presParOf" srcId="{6048FBD6-CC45-460F-9AC1-85434110CA18}" destId="{4F32A074-0B19-4D2B-9204-6C9B4DF47579}" srcOrd="1" destOrd="0" presId="urn:microsoft.com/office/officeart/2005/8/layout/cycle6"/>
    <dgm:cxn modelId="{80E430F2-DE55-4120-8E61-49CF06F908DA}" type="presParOf" srcId="{6048FBD6-CC45-460F-9AC1-85434110CA18}" destId="{B0FB154B-800F-48BA-90F6-B63E4D59C051}" srcOrd="2" destOrd="0" presId="urn:microsoft.com/office/officeart/2005/8/layout/cycle6"/>
    <dgm:cxn modelId="{916C4BED-2344-44E5-8EDF-3885A4D778C4}" type="presParOf" srcId="{6048FBD6-CC45-460F-9AC1-85434110CA18}" destId="{704C59F0-8B30-4A5E-B4D5-761ED72354EB}" srcOrd="3" destOrd="0" presId="urn:microsoft.com/office/officeart/2005/8/layout/cycle6"/>
    <dgm:cxn modelId="{C3E9B995-7593-44A7-89AD-C192F48D15B3}" type="presParOf" srcId="{6048FBD6-CC45-460F-9AC1-85434110CA18}" destId="{D95F058F-8556-41CF-85B1-D4592B825C73}" srcOrd="4" destOrd="0" presId="urn:microsoft.com/office/officeart/2005/8/layout/cycle6"/>
    <dgm:cxn modelId="{66B9CD61-854C-40CB-ADA6-3DFB0ED69F63}" type="presParOf" srcId="{6048FBD6-CC45-460F-9AC1-85434110CA18}" destId="{53850205-1FD7-4EC7-8EF8-E00873C88FE1}" srcOrd="5" destOrd="0" presId="urn:microsoft.com/office/officeart/2005/8/layout/cycle6"/>
    <dgm:cxn modelId="{98CBA323-91AA-44DC-99DC-64F4E0316052}" type="presParOf" srcId="{6048FBD6-CC45-460F-9AC1-85434110CA18}" destId="{F911CA41-6D86-44CE-998D-82B16A970EFD}" srcOrd="6" destOrd="0" presId="urn:microsoft.com/office/officeart/2005/8/layout/cycle6"/>
    <dgm:cxn modelId="{7F31BB3F-63FE-4C81-A8A6-6923BDA15010}" type="presParOf" srcId="{6048FBD6-CC45-460F-9AC1-85434110CA18}" destId="{F7027D39-7CA4-4511-A505-C47BA81BEE08}" srcOrd="7" destOrd="0" presId="urn:microsoft.com/office/officeart/2005/8/layout/cycle6"/>
    <dgm:cxn modelId="{68A75969-0904-4AE7-8CEB-7C35A085FCF7}" type="presParOf" srcId="{6048FBD6-CC45-460F-9AC1-85434110CA18}" destId="{F830EFA5-7C70-46A8-A8B4-862670C6B745}" srcOrd="8" destOrd="0" presId="urn:microsoft.com/office/officeart/2005/8/layout/cycle6"/>
    <dgm:cxn modelId="{5F7F5203-F014-40A3-990C-B8F2EBA2FC7E}" type="presParOf" srcId="{6048FBD6-CC45-460F-9AC1-85434110CA18}" destId="{7A4BD6B0-2993-436B-8DD0-D39E2D2EE8E1}" srcOrd="9" destOrd="0" presId="urn:microsoft.com/office/officeart/2005/8/layout/cycle6"/>
    <dgm:cxn modelId="{17D82E5E-9EEA-4A9E-A954-3DDF86E79DE5}" type="presParOf" srcId="{6048FBD6-CC45-460F-9AC1-85434110CA18}" destId="{CF4AB9EA-F93E-4E32-8295-F805D929A042}" srcOrd="10" destOrd="0" presId="urn:microsoft.com/office/officeart/2005/8/layout/cycle6"/>
    <dgm:cxn modelId="{CBC8EC1E-D6FB-49BD-A75F-D8121F405DB4}" type="presParOf" srcId="{6048FBD6-CC45-460F-9AC1-85434110CA18}" destId="{D85F3F22-CB19-42D5-9BB8-A4B3D6635C76}" srcOrd="11" destOrd="0" presId="urn:microsoft.com/office/officeart/2005/8/layout/cycle6"/>
    <dgm:cxn modelId="{F78E4225-0730-4C09-A412-6565946B2690}" type="presParOf" srcId="{6048FBD6-CC45-460F-9AC1-85434110CA18}" destId="{7945A3BD-E84A-4012-AE78-B699680FB610}" srcOrd="12" destOrd="0" presId="urn:microsoft.com/office/officeart/2005/8/layout/cycle6"/>
    <dgm:cxn modelId="{F4AF1A4C-8C75-4E06-AEB6-B947FE36B82A}" type="presParOf" srcId="{6048FBD6-CC45-460F-9AC1-85434110CA18}" destId="{AFF9FF04-D99F-46B8-95E3-E69C4E802AB5}" srcOrd="13" destOrd="0" presId="urn:microsoft.com/office/officeart/2005/8/layout/cycle6"/>
    <dgm:cxn modelId="{0C6E9EB0-073E-4B26-BFF0-1F40738D2EAC}" type="presParOf" srcId="{6048FBD6-CC45-460F-9AC1-85434110CA18}" destId="{E18AD1C1-F30C-4758-AF00-262B73894DAD}" srcOrd="14" destOrd="0" presId="urn:microsoft.com/office/officeart/2005/8/layout/cycle6"/>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BFE9305-6887-490F-A428-B69D978D274B}">
      <dsp:nvSpPr>
        <dsp:cNvPr id="0" name=""/>
        <dsp:cNvSpPr/>
      </dsp:nvSpPr>
      <dsp:spPr>
        <a:xfrm>
          <a:off x="2023913" y="2592"/>
          <a:ext cx="1438572" cy="935072"/>
        </a:xfrm>
        <a:prstGeom prst="roundRect">
          <a:avLst/>
        </a:prstGeom>
        <a:gradFill rotWithShape="0">
          <a:gsLst>
            <a:gs pos="0">
              <a:schemeClr val="accent5">
                <a:hueOff val="0"/>
                <a:satOff val="0"/>
                <a:lumOff val="0"/>
                <a:alphaOff val="0"/>
                <a:lumMod val="110000"/>
                <a:satMod val="105000"/>
                <a:tint val="67000"/>
              </a:schemeClr>
            </a:gs>
            <a:gs pos="50000">
              <a:schemeClr val="accent5">
                <a:hueOff val="0"/>
                <a:satOff val="0"/>
                <a:lumOff val="0"/>
                <a:alphaOff val="0"/>
                <a:lumMod val="105000"/>
                <a:satMod val="103000"/>
                <a:tint val="73000"/>
              </a:schemeClr>
            </a:gs>
            <a:gs pos="100000">
              <a:schemeClr val="accent5">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Селекционные достижения</a:t>
          </a:r>
        </a:p>
      </dsp:txBody>
      <dsp:txXfrm>
        <a:off x="2069559" y="48238"/>
        <a:ext cx="1347280" cy="843780"/>
      </dsp:txXfrm>
    </dsp:sp>
    <dsp:sp modelId="{B0FB154B-800F-48BA-90F6-B63E4D59C051}">
      <dsp:nvSpPr>
        <dsp:cNvPr id="0" name=""/>
        <dsp:cNvSpPr/>
      </dsp:nvSpPr>
      <dsp:spPr>
        <a:xfrm>
          <a:off x="873659" y="470128"/>
          <a:ext cx="3739081" cy="3739081"/>
        </a:xfrm>
        <a:custGeom>
          <a:avLst/>
          <a:gdLst/>
          <a:ahLst/>
          <a:cxnLst/>
          <a:rect l="0" t="0" r="0" b="0"/>
          <a:pathLst>
            <a:path>
              <a:moveTo>
                <a:pt x="2598726" y="148067"/>
              </a:moveTo>
              <a:arcTo wR="1869540" hR="1869540" stAng="17577400" swAng="1963249"/>
            </a:path>
          </a:pathLst>
        </a:custGeom>
        <a:noFill/>
        <a:ln w="6350" cap="flat" cmpd="sng" algn="ctr">
          <a:solidFill>
            <a:schemeClr val="accent5">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704C59F0-8B30-4A5E-B4D5-761ED72354EB}">
      <dsp:nvSpPr>
        <dsp:cNvPr id="0" name=""/>
        <dsp:cNvSpPr/>
      </dsp:nvSpPr>
      <dsp:spPr>
        <a:xfrm>
          <a:off x="3801952" y="1294413"/>
          <a:ext cx="1438572" cy="935072"/>
        </a:xfrm>
        <a:prstGeom prst="roundRect">
          <a:avLst/>
        </a:prstGeom>
        <a:gradFill rotWithShape="0">
          <a:gsLst>
            <a:gs pos="0">
              <a:schemeClr val="accent5">
                <a:hueOff val="-1838336"/>
                <a:satOff val="-2557"/>
                <a:lumOff val="-981"/>
                <a:alphaOff val="0"/>
                <a:lumMod val="110000"/>
                <a:satMod val="105000"/>
                <a:tint val="67000"/>
              </a:schemeClr>
            </a:gs>
            <a:gs pos="50000">
              <a:schemeClr val="accent5">
                <a:hueOff val="-1838336"/>
                <a:satOff val="-2557"/>
                <a:lumOff val="-981"/>
                <a:alphaOff val="0"/>
                <a:lumMod val="105000"/>
                <a:satMod val="103000"/>
                <a:tint val="73000"/>
              </a:schemeClr>
            </a:gs>
            <a:gs pos="100000">
              <a:schemeClr val="accent5">
                <a:hueOff val="-1838336"/>
                <a:satOff val="-2557"/>
                <a:lumOff val="-981"/>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ts val="0"/>
            </a:spcAft>
            <a:buNone/>
          </a:pPr>
          <a:r>
            <a:rPr lang="ru-RU" sz="1200" kern="1200">
              <a:latin typeface="Times New Roman" panose="02020603050405020304" pitchFamily="18" charset="0"/>
              <a:cs typeface="Times New Roman" panose="02020603050405020304" pitchFamily="18" charset="0"/>
            </a:rPr>
            <a:t>Товарные </a:t>
          </a:r>
        </a:p>
        <a:p>
          <a:pPr marL="0" lvl="0" indent="0" algn="ctr" defTabSz="533400">
            <a:lnSpc>
              <a:spcPct val="90000"/>
            </a:lnSpc>
            <a:spcBef>
              <a:spcPct val="0"/>
            </a:spcBef>
            <a:spcAft>
              <a:spcPts val="0"/>
            </a:spcAft>
            <a:buNone/>
          </a:pPr>
          <a:r>
            <a:rPr lang="ru-RU" sz="1200" kern="1200">
              <a:latin typeface="Times New Roman" panose="02020603050405020304" pitchFamily="18" charset="0"/>
              <a:cs typeface="Times New Roman" panose="02020603050405020304" pitchFamily="18" charset="0"/>
            </a:rPr>
            <a:t>знаки </a:t>
          </a:r>
        </a:p>
      </dsp:txBody>
      <dsp:txXfrm>
        <a:off x="3847598" y="1340059"/>
        <a:ext cx="1347280" cy="843780"/>
      </dsp:txXfrm>
    </dsp:sp>
    <dsp:sp modelId="{53850205-1FD7-4EC7-8EF8-E00873C88FE1}">
      <dsp:nvSpPr>
        <dsp:cNvPr id="0" name=""/>
        <dsp:cNvSpPr/>
      </dsp:nvSpPr>
      <dsp:spPr>
        <a:xfrm>
          <a:off x="873659" y="470128"/>
          <a:ext cx="3739081" cy="3739081"/>
        </a:xfrm>
        <a:custGeom>
          <a:avLst/>
          <a:gdLst/>
          <a:ahLst/>
          <a:cxnLst/>
          <a:rect l="0" t="0" r="0" b="0"/>
          <a:pathLst>
            <a:path>
              <a:moveTo>
                <a:pt x="3736498" y="1771314"/>
              </a:moveTo>
              <a:arcTo wR="1869540" hR="1869540" stAng="21419296" swAng="2197618"/>
            </a:path>
          </a:pathLst>
        </a:custGeom>
        <a:noFill/>
        <a:ln w="6350" cap="flat" cmpd="sng" algn="ctr">
          <a:solidFill>
            <a:schemeClr val="accent5">
              <a:hueOff val="-1838336"/>
              <a:satOff val="-2557"/>
              <a:lumOff val="-981"/>
              <a:alphaOff val="0"/>
            </a:schemeClr>
          </a:solidFill>
          <a:prstDash val="solid"/>
          <a:miter lim="800000"/>
        </a:ln>
        <a:effectLst/>
      </dsp:spPr>
      <dsp:style>
        <a:lnRef idx="1">
          <a:scrgbClr r="0" g="0" b="0"/>
        </a:lnRef>
        <a:fillRef idx="0">
          <a:scrgbClr r="0" g="0" b="0"/>
        </a:fillRef>
        <a:effectRef idx="0">
          <a:scrgbClr r="0" g="0" b="0"/>
        </a:effectRef>
        <a:fontRef idx="minor"/>
      </dsp:style>
    </dsp:sp>
    <dsp:sp modelId="{F911CA41-6D86-44CE-998D-82B16A970EFD}">
      <dsp:nvSpPr>
        <dsp:cNvPr id="0" name=""/>
        <dsp:cNvSpPr/>
      </dsp:nvSpPr>
      <dsp:spPr>
        <a:xfrm>
          <a:off x="3122802" y="3384623"/>
          <a:ext cx="1438572" cy="935072"/>
        </a:xfrm>
        <a:prstGeom prst="roundRect">
          <a:avLst/>
        </a:prstGeom>
        <a:gradFill rotWithShape="0">
          <a:gsLst>
            <a:gs pos="0">
              <a:schemeClr val="accent5">
                <a:hueOff val="-3676672"/>
                <a:satOff val="-5114"/>
                <a:lumOff val="-1961"/>
                <a:alphaOff val="0"/>
                <a:lumMod val="110000"/>
                <a:satMod val="105000"/>
                <a:tint val="67000"/>
              </a:schemeClr>
            </a:gs>
            <a:gs pos="50000">
              <a:schemeClr val="accent5">
                <a:hueOff val="-3676672"/>
                <a:satOff val="-5114"/>
                <a:lumOff val="-1961"/>
                <a:alphaOff val="0"/>
                <a:lumMod val="105000"/>
                <a:satMod val="103000"/>
                <a:tint val="73000"/>
              </a:schemeClr>
            </a:gs>
            <a:gs pos="100000">
              <a:schemeClr val="accent5">
                <a:hueOff val="-3676672"/>
                <a:satOff val="-5114"/>
                <a:lumOff val="-1961"/>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Наименования мест происхождения товаров</a:t>
          </a:r>
        </a:p>
      </dsp:txBody>
      <dsp:txXfrm>
        <a:off x="3168448" y="3430269"/>
        <a:ext cx="1347280" cy="843780"/>
      </dsp:txXfrm>
    </dsp:sp>
    <dsp:sp modelId="{F830EFA5-7C70-46A8-A8B4-862670C6B745}">
      <dsp:nvSpPr>
        <dsp:cNvPr id="0" name=""/>
        <dsp:cNvSpPr/>
      </dsp:nvSpPr>
      <dsp:spPr>
        <a:xfrm>
          <a:off x="873659" y="470128"/>
          <a:ext cx="3739081" cy="3739081"/>
        </a:xfrm>
        <a:custGeom>
          <a:avLst/>
          <a:gdLst/>
          <a:ahLst/>
          <a:cxnLst/>
          <a:rect l="0" t="0" r="0" b="0"/>
          <a:pathLst>
            <a:path>
              <a:moveTo>
                <a:pt x="2241705" y="3701663"/>
              </a:moveTo>
              <a:arcTo wR="1869540" hR="1869540" stAng="4711053" swAng="1377893"/>
            </a:path>
          </a:pathLst>
        </a:custGeom>
        <a:noFill/>
        <a:ln w="6350" cap="flat" cmpd="sng" algn="ctr">
          <a:solidFill>
            <a:schemeClr val="accent5">
              <a:hueOff val="-3676672"/>
              <a:satOff val="-5114"/>
              <a:lumOff val="-1961"/>
              <a:alphaOff val="0"/>
            </a:schemeClr>
          </a:solidFill>
          <a:prstDash val="solid"/>
          <a:miter lim="800000"/>
        </a:ln>
        <a:effectLst/>
      </dsp:spPr>
      <dsp:style>
        <a:lnRef idx="1">
          <a:scrgbClr r="0" g="0" b="0"/>
        </a:lnRef>
        <a:fillRef idx="0">
          <a:scrgbClr r="0" g="0" b="0"/>
        </a:fillRef>
        <a:effectRef idx="0">
          <a:scrgbClr r="0" g="0" b="0"/>
        </a:effectRef>
        <a:fontRef idx="minor"/>
      </dsp:style>
    </dsp:sp>
    <dsp:sp modelId="{7A4BD6B0-2993-436B-8DD0-D39E2D2EE8E1}">
      <dsp:nvSpPr>
        <dsp:cNvPr id="0" name=""/>
        <dsp:cNvSpPr/>
      </dsp:nvSpPr>
      <dsp:spPr>
        <a:xfrm>
          <a:off x="925025" y="3384623"/>
          <a:ext cx="1438572" cy="935072"/>
        </a:xfrm>
        <a:prstGeom prst="roundRect">
          <a:avLst/>
        </a:prstGeom>
        <a:gradFill rotWithShape="0">
          <a:gsLst>
            <a:gs pos="0">
              <a:schemeClr val="accent5">
                <a:hueOff val="-5515009"/>
                <a:satOff val="-7671"/>
                <a:lumOff val="-2942"/>
                <a:alphaOff val="0"/>
                <a:lumMod val="110000"/>
                <a:satMod val="105000"/>
                <a:tint val="67000"/>
              </a:schemeClr>
            </a:gs>
            <a:gs pos="50000">
              <a:schemeClr val="accent5">
                <a:hueOff val="-5515009"/>
                <a:satOff val="-7671"/>
                <a:lumOff val="-2942"/>
                <a:alphaOff val="0"/>
                <a:lumMod val="105000"/>
                <a:satMod val="103000"/>
                <a:tint val="73000"/>
              </a:schemeClr>
            </a:gs>
            <a:gs pos="100000">
              <a:schemeClr val="accent5">
                <a:hueOff val="-5515009"/>
                <a:satOff val="-7671"/>
                <a:lumOff val="-2942"/>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Ноу-хау в области агротехнологий</a:t>
          </a:r>
        </a:p>
      </dsp:txBody>
      <dsp:txXfrm>
        <a:off x="970671" y="3430269"/>
        <a:ext cx="1347280" cy="843780"/>
      </dsp:txXfrm>
    </dsp:sp>
    <dsp:sp modelId="{D85F3F22-CB19-42D5-9BB8-A4B3D6635C76}">
      <dsp:nvSpPr>
        <dsp:cNvPr id="0" name=""/>
        <dsp:cNvSpPr/>
      </dsp:nvSpPr>
      <dsp:spPr>
        <a:xfrm>
          <a:off x="873659" y="470128"/>
          <a:ext cx="3739081" cy="3739081"/>
        </a:xfrm>
        <a:custGeom>
          <a:avLst/>
          <a:gdLst/>
          <a:ahLst/>
          <a:cxnLst/>
          <a:rect l="0" t="0" r="0" b="0"/>
          <a:pathLst>
            <a:path>
              <a:moveTo>
                <a:pt x="312635" y="2904542"/>
              </a:moveTo>
              <a:arcTo wR="1869540" hR="1869540" stAng="8783086" swAng="2197618"/>
            </a:path>
          </a:pathLst>
        </a:custGeom>
        <a:noFill/>
        <a:ln w="6350" cap="flat" cmpd="sng" algn="ctr">
          <a:solidFill>
            <a:schemeClr val="accent5">
              <a:hueOff val="-5515009"/>
              <a:satOff val="-7671"/>
              <a:lumOff val="-2942"/>
              <a:alphaOff val="0"/>
            </a:schemeClr>
          </a:solidFill>
          <a:prstDash val="solid"/>
          <a:miter lim="800000"/>
        </a:ln>
        <a:effectLst/>
      </dsp:spPr>
      <dsp:style>
        <a:lnRef idx="1">
          <a:scrgbClr r="0" g="0" b="0"/>
        </a:lnRef>
        <a:fillRef idx="0">
          <a:scrgbClr r="0" g="0" b="0"/>
        </a:fillRef>
        <a:effectRef idx="0">
          <a:scrgbClr r="0" g="0" b="0"/>
        </a:effectRef>
        <a:fontRef idx="minor"/>
      </dsp:style>
    </dsp:sp>
    <dsp:sp modelId="{7945A3BD-E84A-4012-AE78-B699680FB610}">
      <dsp:nvSpPr>
        <dsp:cNvPr id="0" name=""/>
        <dsp:cNvSpPr/>
      </dsp:nvSpPr>
      <dsp:spPr>
        <a:xfrm>
          <a:off x="245874" y="1294413"/>
          <a:ext cx="1438572" cy="935072"/>
        </a:xfrm>
        <a:prstGeom prst="roundRect">
          <a:avLst/>
        </a:prstGeom>
        <a:gradFill rotWithShape="0">
          <a:gsLst>
            <a:gs pos="0">
              <a:schemeClr val="accent5">
                <a:hueOff val="-7353344"/>
                <a:satOff val="-10228"/>
                <a:lumOff val="-3922"/>
                <a:alphaOff val="0"/>
                <a:lumMod val="110000"/>
                <a:satMod val="105000"/>
                <a:tint val="67000"/>
              </a:schemeClr>
            </a:gs>
            <a:gs pos="50000">
              <a:schemeClr val="accent5">
                <a:hueOff val="-7353344"/>
                <a:satOff val="-10228"/>
                <a:lumOff val="-3922"/>
                <a:alphaOff val="0"/>
                <a:lumMod val="105000"/>
                <a:satMod val="103000"/>
                <a:tint val="73000"/>
              </a:schemeClr>
            </a:gs>
            <a:gs pos="100000">
              <a:schemeClr val="accent5">
                <a:hueOff val="-7353344"/>
                <a:satOff val="-10228"/>
                <a:lumOff val="-3922"/>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Программное обеспечение</a:t>
          </a:r>
        </a:p>
      </dsp:txBody>
      <dsp:txXfrm>
        <a:off x="291520" y="1340059"/>
        <a:ext cx="1347280" cy="843780"/>
      </dsp:txXfrm>
    </dsp:sp>
    <dsp:sp modelId="{E18AD1C1-F30C-4758-AF00-262B73894DAD}">
      <dsp:nvSpPr>
        <dsp:cNvPr id="0" name=""/>
        <dsp:cNvSpPr/>
      </dsp:nvSpPr>
      <dsp:spPr>
        <a:xfrm>
          <a:off x="873659" y="470128"/>
          <a:ext cx="3739081" cy="3739081"/>
        </a:xfrm>
        <a:custGeom>
          <a:avLst/>
          <a:gdLst/>
          <a:ahLst/>
          <a:cxnLst/>
          <a:rect l="0" t="0" r="0" b="0"/>
          <a:pathLst>
            <a:path>
              <a:moveTo>
                <a:pt x="325530" y="815398"/>
              </a:moveTo>
              <a:arcTo wR="1869540" hR="1869540" stAng="12859351" swAng="1963249"/>
            </a:path>
          </a:pathLst>
        </a:custGeom>
        <a:noFill/>
        <a:ln w="6350" cap="flat" cmpd="sng" algn="ctr">
          <a:solidFill>
            <a:schemeClr val="accent5">
              <a:hueOff val="-7353344"/>
              <a:satOff val="-10228"/>
              <a:lumOff val="-3922"/>
              <a:alphaOff val="0"/>
            </a:schemeClr>
          </a:solidFill>
          <a:prstDash val="solid"/>
          <a:miter lim="800000"/>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3588</Words>
  <Characters>20456</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Iner</dc:creator>
  <cp:keywords/>
  <dc:description/>
  <cp:lastModifiedBy>Татьяна Бубновская</cp:lastModifiedBy>
  <cp:revision>3</cp:revision>
  <dcterms:created xsi:type="dcterms:W3CDTF">2025-09-26T03:13:00Z</dcterms:created>
  <dcterms:modified xsi:type="dcterms:W3CDTF">2025-09-26T03:20:00Z</dcterms:modified>
</cp:coreProperties>
</file>